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36"/>
          <w:szCs w:val="36"/>
        </w:rPr>
      </w:pPr>
      <w:r>
        <w:rPr>
          <w:rFonts w:hint="eastAsia" w:asciiTheme="minorEastAsia" w:hAnsiTheme="minorEastAsia" w:eastAsiaTheme="minorEastAsia"/>
          <w:sz w:val="72"/>
        </w:rPr>
        <w:t>第九届全国青年科普创新实验暨作品大赛冠军团队主题研学活动</w:t>
      </w: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中国科技发展基金会</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3</w:t>
      </w:r>
      <w:r>
        <w:rPr>
          <w:rFonts w:asciiTheme="minorEastAsia" w:hAnsiTheme="minorEastAsia" w:eastAsiaTheme="minorEastAsia"/>
          <w:sz w:val="40"/>
        </w:rPr>
        <w:t>年</w:t>
      </w:r>
      <w:r>
        <w:rPr>
          <w:rFonts w:hint="eastAsia" w:asciiTheme="minorEastAsia" w:hAnsiTheme="minorEastAsia" w:eastAsiaTheme="minorEastAsia"/>
          <w:sz w:val="40"/>
        </w:rPr>
        <w:t>8</w:t>
      </w:r>
      <w:r>
        <w:rPr>
          <w:rFonts w:asciiTheme="minorEastAsia" w:hAnsiTheme="minorEastAsia" w:eastAsiaTheme="minorEastAsia"/>
          <w:sz w:val="40"/>
        </w:rPr>
        <w:t>月</w:t>
      </w:r>
    </w:p>
    <w:p>
      <w:pPr>
        <w:pStyle w:val="13"/>
        <w:rPr>
          <w:sz w:val="32"/>
        </w:rPr>
        <w:sectPr>
          <w:headerReference r:id="rId7" w:type="first"/>
          <w:footerReference r:id="rId10" w:type="first"/>
          <w:headerReference r:id="rId5" w:type="default"/>
          <w:footerReference r:id="rId8" w:type="default"/>
          <w:headerReference r:id="rId6" w:type="even"/>
          <w:footerReference r:id="rId9" w:type="even"/>
          <w:pgSz w:w="11906" w:h="16838"/>
          <w:pgMar w:top="958" w:right="1803" w:bottom="1440" w:left="1803" w:header="851" w:footer="992" w:gutter="0"/>
          <w:cols w:space="0" w:num="1"/>
          <w:docGrid w:type="lines" w:linePitch="328" w:charSpace="0"/>
        </w:sectPr>
      </w:pPr>
    </w:p>
    <w:p>
      <w:pPr>
        <w:pStyle w:val="13"/>
        <w:rPr>
          <w:sz w:val="32"/>
        </w:rPr>
      </w:pPr>
      <w:r>
        <w:rPr>
          <w:rFonts w:hint="eastAsia"/>
          <w:sz w:val="32"/>
        </w:rPr>
        <w:t>目录</w:t>
      </w:r>
    </w:p>
    <w:p>
      <w:pPr>
        <w:pStyle w:val="13"/>
        <w:ind w:firstLine="560"/>
      </w:pPr>
    </w:p>
    <w:p>
      <w:pPr>
        <w:pStyle w:val="13"/>
        <w:tabs>
          <w:tab w:val="right" w:leader="dot" w:pos="8300"/>
          <w:tab w:val="clear" w:pos="1470"/>
          <w:tab w:val="clear" w:pos="7980"/>
        </w:tabs>
        <w:ind w:firstLine="560"/>
        <w:rPr>
          <w:rFonts w:ascii="宋体" w:hAnsi="宋体" w:eastAsia="宋体"/>
          <w:szCs w:val="22"/>
        </w:rPr>
      </w:pPr>
      <w:r>
        <w:fldChar w:fldCharType="begin"/>
      </w:r>
      <w:r>
        <w:instrText xml:space="preserve"> TOC \o "1-1" \h \z \u </w:instrText>
      </w:r>
      <w:r>
        <w:fldChar w:fldCharType="separate"/>
      </w:r>
      <w:r>
        <w:fldChar w:fldCharType="begin"/>
      </w:r>
      <w:r>
        <w:instrText xml:space="preserve"> HYPERLINK \l "_Toc9285" </w:instrText>
      </w:r>
      <w:r>
        <w:fldChar w:fldCharType="separate"/>
      </w:r>
      <w:r>
        <w:rPr>
          <w:rFonts w:ascii="宋体" w:hAnsi="宋体" w:eastAsia="宋体"/>
          <w:szCs w:val="22"/>
        </w:rPr>
        <w:t>第</w:t>
      </w:r>
      <w:r>
        <w:rPr>
          <w:rFonts w:hint="eastAsia"/>
          <w:bCs/>
          <w:kern w:val="44"/>
          <w:szCs w:val="32"/>
        </w:rPr>
        <w:t xml:space="preserve">一章 </w:t>
      </w:r>
      <w:r>
        <w:rPr>
          <w:rFonts w:hint="eastAsia" w:ascii="宋体" w:hAnsi="宋体" w:eastAsia="宋体"/>
          <w:szCs w:val="32"/>
        </w:rPr>
        <w:t>申报通知</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_Toc9285 </w:instrText>
      </w:r>
      <w:r>
        <w:rPr>
          <w:rFonts w:ascii="宋体" w:hAnsi="宋体" w:eastAsia="宋体"/>
          <w:szCs w:val="22"/>
        </w:rPr>
        <w:fldChar w:fldCharType="separate"/>
      </w:r>
      <w:r>
        <w:rPr>
          <w:rFonts w:ascii="宋体" w:hAnsi="宋体" w:eastAsia="宋体"/>
          <w:szCs w:val="22"/>
        </w:rPr>
        <w:t>2</w:t>
      </w:r>
      <w:r>
        <w:rPr>
          <w:rFonts w:ascii="宋体" w:hAnsi="宋体" w:eastAsia="宋体"/>
          <w:szCs w:val="22"/>
        </w:rPr>
        <w:fldChar w:fldCharType="end"/>
      </w:r>
      <w:r>
        <w:rPr>
          <w:rFonts w:ascii="宋体" w:hAnsi="宋体" w:eastAsia="宋体"/>
          <w:szCs w:val="22"/>
        </w:rPr>
        <w:fldChar w:fldCharType="end"/>
      </w:r>
    </w:p>
    <w:p>
      <w:pPr>
        <w:pStyle w:val="13"/>
        <w:tabs>
          <w:tab w:val="right" w:leader="dot" w:pos="8300"/>
          <w:tab w:val="clear" w:pos="1470"/>
          <w:tab w:val="clear" w:pos="7980"/>
        </w:tabs>
        <w:ind w:firstLine="560"/>
        <w:rPr>
          <w:rFonts w:ascii="宋体" w:hAnsi="宋体" w:eastAsia="宋体"/>
          <w:szCs w:val="22"/>
        </w:rPr>
      </w:pPr>
      <w:r>
        <w:fldChar w:fldCharType="begin"/>
      </w:r>
      <w:r>
        <w:instrText xml:space="preserve"> HYPERLINK \l "_Toc18179" </w:instrText>
      </w:r>
      <w:r>
        <w:fldChar w:fldCharType="separate"/>
      </w:r>
      <w:r>
        <w:rPr>
          <w:rFonts w:ascii="宋体" w:hAnsi="宋体" w:eastAsia="宋体"/>
          <w:szCs w:val="22"/>
        </w:rPr>
        <w:t>第</w:t>
      </w:r>
      <w:r>
        <w:rPr>
          <w:rFonts w:hint="eastAsia"/>
          <w:bCs/>
          <w:kern w:val="44"/>
          <w:szCs w:val="32"/>
        </w:rPr>
        <w:t xml:space="preserve">二章 </w:t>
      </w:r>
      <w:r>
        <w:rPr>
          <w:rFonts w:hint="eastAsia" w:ascii="宋体" w:hAnsi="宋体" w:eastAsia="宋体"/>
          <w:szCs w:val="32"/>
        </w:rPr>
        <w:t>采购需求</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_Toc18179 </w:instrText>
      </w:r>
      <w:r>
        <w:rPr>
          <w:rFonts w:ascii="宋体" w:hAnsi="宋体" w:eastAsia="宋体"/>
          <w:szCs w:val="22"/>
        </w:rPr>
        <w:fldChar w:fldCharType="separate"/>
      </w:r>
      <w:r>
        <w:rPr>
          <w:rFonts w:ascii="宋体" w:hAnsi="宋体" w:eastAsia="宋体"/>
          <w:szCs w:val="22"/>
        </w:rPr>
        <w:t>4</w:t>
      </w:r>
      <w:r>
        <w:rPr>
          <w:rFonts w:ascii="宋体" w:hAnsi="宋体" w:eastAsia="宋体"/>
          <w:szCs w:val="22"/>
        </w:rPr>
        <w:fldChar w:fldCharType="end"/>
      </w:r>
      <w:r>
        <w:rPr>
          <w:rFonts w:ascii="宋体" w:hAnsi="宋体" w:eastAsia="宋体"/>
          <w:szCs w:val="22"/>
        </w:rPr>
        <w:fldChar w:fldCharType="end"/>
      </w:r>
    </w:p>
    <w:p>
      <w:pPr>
        <w:pStyle w:val="13"/>
        <w:tabs>
          <w:tab w:val="right" w:leader="dot" w:pos="8300"/>
          <w:tab w:val="clear" w:pos="1470"/>
          <w:tab w:val="clear" w:pos="7980"/>
        </w:tabs>
        <w:ind w:firstLine="560"/>
        <w:rPr>
          <w:rFonts w:ascii="宋体" w:hAnsi="宋体" w:eastAsia="宋体"/>
          <w:szCs w:val="22"/>
        </w:rPr>
      </w:pPr>
      <w:r>
        <w:fldChar w:fldCharType="begin"/>
      </w:r>
      <w:r>
        <w:instrText xml:space="preserve"> HYPERLINK \l "_Toc6841" </w:instrText>
      </w:r>
      <w:r>
        <w:fldChar w:fldCharType="separate"/>
      </w:r>
      <w:r>
        <w:rPr>
          <w:rFonts w:ascii="宋体" w:hAnsi="宋体" w:eastAsia="宋体"/>
          <w:szCs w:val="22"/>
        </w:rPr>
        <w:t>第</w:t>
      </w:r>
      <w:r>
        <w:rPr>
          <w:rFonts w:hint="eastAsia"/>
          <w:bCs/>
          <w:kern w:val="44"/>
          <w:szCs w:val="32"/>
        </w:rPr>
        <w:t xml:space="preserve">三章 </w:t>
      </w:r>
      <w:r>
        <w:rPr>
          <w:rFonts w:hint="eastAsia" w:ascii="宋体" w:hAnsi="宋体" w:eastAsia="宋体"/>
          <w:szCs w:val="32"/>
        </w:rPr>
        <w:t>评审标准</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_Toc6841 </w:instrText>
      </w:r>
      <w:r>
        <w:rPr>
          <w:rFonts w:ascii="宋体" w:hAnsi="宋体" w:eastAsia="宋体"/>
          <w:szCs w:val="22"/>
        </w:rPr>
        <w:fldChar w:fldCharType="separate"/>
      </w:r>
      <w:r>
        <w:rPr>
          <w:rFonts w:ascii="宋体" w:hAnsi="宋体" w:eastAsia="宋体"/>
          <w:szCs w:val="22"/>
        </w:rPr>
        <w:t>6</w:t>
      </w:r>
      <w:r>
        <w:rPr>
          <w:rFonts w:ascii="宋体" w:hAnsi="宋体" w:eastAsia="宋体"/>
          <w:szCs w:val="22"/>
        </w:rPr>
        <w:fldChar w:fldCharType="end"/>
      </w:r>
      <w:r>
        <w:rPr>
          <w:rFonts w:ascii="宋体" w:hAnsi="宋体" w:eastAsia="宋体"/>
          <w:szCs w:val="22"/>
        </w:rPr>
        <w:fldChar w:fldCharType="end"/>
      </w:r>
    </w:p>
    <w:p>
      <w:pPr>
        <w:pStyle w:val="13"/>
        <w:tabs>
          <w:tab w:val="right" w:leader="dot" w:pos="8300"/>
          <w:tab w:val="clear" w:pos="1470"/>
          <w:tab w:val="clear" w:pos="7980"/>
        </w:tabs>
        <w:ind w:firstLine="560"/>
        <w:rPr>
          <w:rFonts w:ascii="宋体" w:hAnsi="宋体" w:eastAsia="宋体"/>
          <w:szCs w:val="22"/>
        </w:rPr>
      </w:pPr>
      <w:r>
        <w:fldChar w:fldCharType="begin"/>
      </w:r>
      <w:r>
        <w:instrText xml:space="preserve"> HYPERLINK \l "_Toc25910" </w:instrText>
      </w:r>
      <w:r>
        <w:fldChar w:fldCharType="separate"/>
      </w:r>
      <w:r>
        <w:rPr>
          <w:rFonts w:ascii="宋体" w:hAnsi="宋体" w:eastAsia="宋体"/>
          <w:szCs w:val="22"/>
        </w:rPr>
        <w:t>第</w:t>
      </w:r>
      <w:r>
        <w:rPr>
          <w:rFonts w:hint="eastAsia"/>
          <w:bCs/>
          <w:kern w:val="44"/>
          <w:szCs w:val="32"/>
        </w:rPr>
        <w:t xml:space="preserve">四章 </w:t>
      </w:r>
      <w:r>
        <w:rPr>
          <w:rFonts w:hint="eastAsia" w:ascii="宋体" w:hAnsi="宋体" w:eastAsia="宋体"/>
          <w:szCs w:val="32"/>
        </w:rPr>
        <w:t>申报文件格式</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_Toc25910 </w:instrText>
      </w:r>
      <w:r>
        <w:rPr>
          <w:rFonts w:ascii="宋体" w:hAnsi="宋体" w:eastAsia="宋体"/>
          <w:szCs w:val="22"/>
        </w:rPr>
        <w:fldChar w:fldCharType="separate"/>
      </w:r>
      <w:r>
        <w:rPr>
          <w:rFonts w:ascii="宋体" w:hAnsi="宋体" w:eastAsia="宋体"/>
          <w:szCs w:val="22"/>
        </w:rPr>
        <w:t>8</w:t>
      </w:r>
      <w:r>
        <w:rPr>
          <w:rFonts w:ascii="宋体" w:hAnsi="宋体" w:eastAsia="宋体"/>
          <w:szCs w:val="22"/>
        </w:rPr>
        <w:fldChar w:fldCharType="end"/>
      </w:r>
      <w:r>
        <w:rPr>
          <w:rFonts w:ascii="宋体" w:hAnsi="宋体" w:eastAsia="宋体"/>
          <w:szCs w:val="22"/>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7"/>
        <w:ind w:firstLine="643"/>
        <w:rPr>
          <w:sz w:val="32"/>
          <w:szCs w:val="32"/>
        </w:rPr>
      </w:pPr>
      <w:bookmarkStart w:id="0" w:name="_Toc9285"/>
      <w:r>
        <w:rPr>
          <w:rFonts w:hint="eastAsia"/>
          <w:sz w:val="32"/>
          <w:szCs w:val="32"/>
        </w:rPr>
        <w:t>申报通知</w:t>
      </w:r>
      <w:bookmarkEnd w:id="0"/>
    </w:p>
    <w:p>
      <w:pPr>
        <w:pStyle w:val="36"/>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第九届全国青年科普创新实验暨作品大赛冠军团队主题研学活动。</w:t>
      </w:r>
    </w:p>
    <w:p>
      <w:pPr>
        <w:pStyle w:val="36"/>
      </w:pPr>
      <w:r>
        <w:rPr>
          <w:rFonts w:hint="eastAsia"/>
        </w:rPr>
        <w:t>项目预算金额</w:t>
      </w:r>
    </w:p>
    <w:p>
      <w:pPr>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预算金额：人民币15</w:t>
      </w:r>
      <w:r>
        <w:rPr>
          <w:rFonts w:asciiTheme="minorEastAsia" w:hAnsiTheme="minorEastAsia" w:eastAsiaTheme="minorEastAsia"/>
          <w:szCs w:val="24"/>
          <w:highlight w:val="none"/>
        </w:rPr>
        <w:t>万元</w:t>
      </w:r>
      <w:r>
        <w:rPr>
          <w:rFonts w:hint="eastAsia" w:asciiTheme="minorEastAsia" w:hAnsiTheme="minorEastAsia" w:eastAsiaTheme="minorEastAsia"/>
          <w:szCs w:val="24"/>
          <w:highlight w:val="none"/>
        </w:rPr>
        <w:t>。</w:t>
      </w:r>
    </w:p>
    <w:p>
      <w:pPr>
        <w:ind w:firstLine="480"/>
        <w:rPr>
          <w:rFonts w:cs="宋体"/>
          <w:szCs w:val="24"/>
          <w:highlight w:val="none"/>
        </w:rPr>
      </w:pPr>
      <w:r>
        <w:rPr>
          <w:rFonts w:hint="eastAsia" w:cs="宋体"/>
          <w:szCs w:val="24"/>
          <w:highlight w:val="none"/>
        </w:rPr>
        <w:t>注：</w:t>
      </w:r>
      <w:r>
        <w:rPr>
          <w:rFonts w:cs="宋体"/>
          <w:szCs w:val="24"/>
          <w:highlight w:val="none"/>
        </w:rPr>
        <w:t>以上报价中仅包含15位营员的各项费用支出，若新增</w:t>
      </w:r>
      <w:r>
        <w:rPr>
          <w:rFonts w:hint="eastAsia" w:cs="宋体"/>
          <w:szCs w:val="24"/>
          <w:highlight w:val="none"/>
        </w:rPr>
        <w:t>/减少</w:t>
      </w:r>
      <w:r>
        <w:rPr>
          <w:rFonts w:cs="宋体"/>
          <w:szCs w:val="24"/>
          <w:highlight w:val="none"/>
        </w:rPr>
        <w:t>其他工作人员、老师、学生随行，需依据实际发生金额另行</w:t>
      </w:r>
      <w:r>
        <w:rPr>
          <w:rFonts w:hint="eastAsia" w:cs="宋体"/>
          <w:szCs w:val="24"/>
          <w:highlight w:val="none"/>
        </w:rPr>
        <w:t>增加/减少</w:t>
      </w:r>
      <w:r>
        <w:rPr>
          <w:rFonts w:cs="宋体"/>
          <w:szCs w:val="24"/>
          <w:highlight w:val="none"/>
        </w:rPr>
        <w:t>交通、餐费、场地费等行程所涉</w:t>
      </w:r>
      <w:r>
        <w:rPr>
          <w:rFonts w:hint="eastAsia" w:cs="宋体"/>
          <w:szCs w:val="24"/>
          <w:highlight w:val="none"/>
        </w:rPr>
        <w:t>的相关</w:t>
      </w:r>
      <w:r>
        <w:rPr>
          <w:rFonts w:cs="宋体"/>
          <w:szCs w:val="24"/>
          <w:highlight w:val="none"/>
        </w:rPr>
        <w:t>费用。</w:t>
      </w:r>
      <w:r>
        <w:rPr>
          <w:rFonts w:hint="eastAsia" w:cs="宋体"/>
          <w:szCs w:val="24"/>
          <w:highlight w:val="none"/>
        </w:rPr>
        <w:t>以上报价中营员自出发地抵达北京、自兰州返回营员出发地所涉大交通费用依据实际发生金额结算。</w:t>
      </w:r>
    </w:p>
    <w:p>
      <w:pPr>
        <w:pStyle w:val="36"/>
        <w:rPr>
          <w:rFonts w:hint="eastAsia"/>
        </w:rPr>
      </w:pPr>
      <w:r>
        <w:rPr>
          <w:rFonts w:hint="eastAsia"/>
        </w:rPr>
        <w:t>项目采购需求</w:t>
      </w:r>
    </w:p>
    <w:p>
      <w:pPr>
        <w:ind w:firstLine="436" w:firstLineChars="182"/>
        <w:rPr>
          <w:rFonts w:cs="宋体"/>
          <w:szCs w:val="24"/>
        </w:rPr>
      </w:pPr>
      <w:r>
        <w:rPr>
          <w:rFonts w:hint="eastAsia" w:cs="宋体"/>
          <w:szCs w:val="24"/>
        </w:rPr>
        <w:t>详见附件第二章采购需求。</w:t>
      </w:r>
    </w:p>
    <w:p>
      <w:pPr>
        <w:pStyle w:val="36"/>
      </w:pPr>
      <w:r>
        <w:rPr>
          <w:rFonts w:hint="eastAsia"/>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w:t>
      </w:r>
      <w:r>
        <w:rPr>
          <w:rFonts w:hint="eastAsia" w:ascii="Times New Roman" w:hAnsi="Times New Roman" w:cs="Times New Roman" w:eastAsiaTheme="minorEastAsia"/>
          <w:szCs w:val="24"/>
        </w:rPr>
        <w:t>6</w:t>
      </w:r>
      <w:r>
        <w:rPr>
          <w:rFonts w:ascii="Times New Roman" w:hAnsi="Times New Roman" w:cs="Times New Roman" w:eastAsiaTheme="minorEastAsia"/>
          <w:szCs w:val="24"/>
        </w:rPr>
        <w:t>）本项目是否接受联合体申报：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pStyle w:val="36"/>
      </w:pPr>
      <w:r>
        <w:rPr>
          <w:rFonts w:hint="eastAsia"/>
        </w:rPr>
        <w:t>申报流程</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文件接收</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本项目申报通知发布后的第4个工作日17:00截止（不含申报通知发布当日）；</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（4）《资格文件》、《项目申报书》送达方式：邮寄送达</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邮寄地址：北京市朝阳区北辰东路5号中国科技发展基金会</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收件人：</w:t>
      </w:r>
      <w:r>
        <w:rPr>
          <w:rFonts w:asciiTheme="minorEastAsia" w:hAnsiTheme="minorEastAsia" w:eastAsiaTheme="minorEastAsia"/>
          <w:szCs w:val="24"/>
        </w:rPr>
        <w:t xml:space="preserve"> </w:t>
      </w:r>
      <w:r>
        <w:rPr>
          <w:rFonts w:hint="eastAsia" w:asciiTheme="minorEastAsia" w:hAnsiTheme="minorEastAsia" w:eastAsiaTheme="minorEastAsia"/>
          <w:szCs w:val="24"/>
        </w:rPr>
        <w:t>霍虹</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联系电话：010-59041035</w:t>
      </w:r>
      <w:r>
        <w:rPr>
          <w:rFonts w:asciiTheme="minorEastAsia" w:hAnsiTheme="minorEastAsia" w:eastAsiaTheme="minorEastAsia"/>
          <w:szCs w:val="24"/>
        </w:rPr>
        <w:t xml:space="preserve"> </w:t>
      </w:r>
    </w:p>
    <w:p>
      <w:pPr>
        <w:pStyle w:val="36"/>
      </w:pPr>
      <w:r>
        <w:rPr>
          <w:rFonts w:hint="eastAsia"/>
        </w:rPr>
        <w:t>其他要求</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文件制作要求：</w:t>
      </w:r>
    </w:p>
    <w:p>
      <w:pPr>
        <w:pStyle w:val="41"/>
        <w:ind w:firstLine="48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（2）采购部门：中国科技发展基金会</w:t>
      </w:r>
    </w:p>
    <w:p>
      <w:pPr>
        <w:pStyle w:val="41"/>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联系人：</w:t>
      </w:r>
      <w:r>
        <w:rPr>
          <w:rFonts w:asciiTheme="minorEastAsia" w:hAnsiTheme="minorEastAsia" w:eastAsiaTheme="minorEastAsia"/>
          <w:szCs w:val="24"/>
        </w:rPr>
        <w:t xml:space="preserve"> </w:t>
      </w:r>
      <w:r>
        <w:rPr>
          <w:rFonts w:hint="eastAsia" w:asciiTheme="minorEastAsia" w:hAnsiTheme="minorEastAsia" w:eastAsiaTheme="minorEastAsia"/>
          <w:szCs w:val="24"/>
        </w:rPr>
        <w:t>霍虹</w:t>
      </w:r>
    </w:p>
    <w:p>
      <w:pPr>
        <w:pStyle w:val="41"/>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联系电话：010-59041035</w:t>
      </w:r>
      <w:r>
        <w:rPr>
          <w:rFonts w:asciiTheme="minorEastAsia" w:hAnsiTheme="minorEastAsia" w:eastAsiaTheme="minorEastAsia"/>
          <w:szCs w:val="24"/>
        </w:rPr>
        <w:t xml:space="preserve"> </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（3）申报代理机构：</w:t>
      </w:r>
      <w:r>
        <w:rPr>
          <w:rFonts w:asciiTheme="minorEastAsia" w:hAnsiTheme="minorEastAsia" w:eastAsiaTheme="minorEastAsia"/>
          <w:szCs w:val="24"/>
        </w:rPr>
        <w:t>五矿国际招标有限责任公司</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010-81125778/81125774</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cs="宋体"/>
          <w:szCs w:val="24"/>
        </w:rPr>
        <w:t>北京市西城区文兴街1号院北矿金融大厦9层906室</w:t>
      </w:r>
    </w:p>
    <w:p>
      <w:pPr>
        <w:pStyle w:val="41"/>
        <w:ind w:left="420" w:firstLineChars="0"/>
        <w:rPr>
          <w:rFonts w:asciiTheme="minorEastAsia" w:hAnsiTheme="minorEastAsia" w:eastAsiaTheme="minorEastAsia"/>
          <w:b/>
          <w:bCs/>
          <w:kern w:val="44"/>
          <w:szCs w:val="24"/>
        </w:rPr>
      </w:pPr>
      <w:r>
        <w:br w:type="page"/>
      </w:r>
    </w:p>
    <w:p>
      <w:pPr>
        <w:pStyle w:val="37"/>
        <w:spacing w:line="360" w:lineRule="auto"/>
        <w:ind w:firstLine="643"/>
        <w:rPr>
          <w:rFonts w:asciiTheme="majorEastAsia" w:hAnsiTheme="majorEastAsia" w:eastAsiaTheme="majorEastAsia"/>
          <w:sz w:val="32"/>
          <w:szCs w:val="32"/>
        </w:rPr>
      </w:pPr>
      <w:bookmarkStart w:id="1" w:name="_Toc18179"/>
      <w:r>
        <w:rPr>
          <w:rFonts w:hint="eastAsia" w:asciiTheme="majorEastAsia" w:hAnsiTheme="majorEastAsia" w:eastAsiaTheme="majorEastAsia"/>
          <w:sz w:val="32"/>
          <w:szCs w:val="32"/>
        </w:rPr>
        <w:t>采购需求</w:t>
      </w:r>
      <w:bookmarkEnd w:id="1"/>
    </w:p>
    <w:p>
      <w:pPr>
        <w:snapToGrid w:val="0"/>
        <w:spacing w:line="580" w:lineRule="exact"/>
        <w:ind w:firstLine="482"/>
        <w:rPr>
          <w:rFonts w:cs="宋体"/>
          <w:b/>
          <w:bCs/>
          <w:szCs w:val="24"/>
        </w:rPr>
      </w:pPr>
      <w:r>
        <w:rPr>
          <w:rFonts w:hint="eastAsia" w:cs="宋体"/>
          <w:b/>
          <w:bCs/>
          <w:szCs w:val="24"/>
        </w:rPr>
        <w:t>一、项目概况</w:t>
      </w:r>
    </w:p>
    <w:p>
      <w:pPr>
        <w:snapToGrid w:val="0"/>
        <w:spacing w:line="580" w:lineRule="exact"/>
        <w:ind w:firstLine="480"/>
        <w:rPr>
          <w:rFonts w:cs="宋体"/>
          <w:szCs w:val="24"/>
        </w:rPr>
      </w:pPr>
      <w:r>
        <w:rPr>
          <w:rFonts w:hint="eastAsia" w:cs="宋体"/>
          <w:szCs w:val="24"/>
        </w:rPr>
        <w:t>第九届全国青年科普创新实验暨作品大赛全国总决赛已于</w:t>
      </w:r>
      <w:r>
        <w:rPr>
          <w:rFonts w:cs="宋体"/>
          <w:szCs w:val="24"/>
        </w:rPr>
        <w:t>8月1日至4日举办。为进一步提高参赛选手的获得感和荣誉感，扩大大赛社会</w:t>
      </w:r>
      <w:r>
        <w:rPr>
          <w:rFonts w:hint="eastAsia" w:cs="宋体"/>
          <w:szCs w:val="24"/>
        </w:rPr>
        <w:t>的</w:t>
      </w:r>
      <w:r>
        <w:rPr>
          <w:rFonts w:cs="宋体"/>
          <w:szCs w:val="24"/>
        </w:rPr>
        <w:t>影响力，现计划面向全国总决赛</w:t>
      </w:r>
      <w:r>
        <w:rPr>
          <w:rFonts w:hint="eastAsia" w:cs="宋体"/>
          <w:szCs w:val="24"/>
        </w:rPr>
        <w:t>智慧社区（中学组）、智慧社区（大学组）和未来太空车（中学组）三个组别的冠军</w:t>
      </w:r>
      <w:r>
        <w:rPr>
          <w:rFonts w:cs="宋体"/>
          <w:szCs w:val="24"/>
        </w:rPr>
        <w:t>团队参赛学生和</w:t>
      </w:r>
      <w:r>
        <w:rPr>
          <w:rFonts w:hint="eastAsia" w:cs="宋体"/>
          <w:szCs w:val="24"/>
        </w:rPr>
        <w:t>学校</w:t>
      </w:r>
      <w:r>
        <w:rPr>
          <w:rFonts w:cs="宋体"/>
          <w:szCs w:val="24"/>
        </w:rPr>
        <w:t>指导老师开展主题研学活动，以更好地激励参赛选手</w:t>
      </w:r>
      <w:r>
        <w:rPr>
          <w:rFonts w:hint="eastAsia" w:cs="宋体"/>
          <w:szCs w:val="24"/>
        </w:rPr>
        <w:t>，拓展科学视野，培养学术爱好，提升研究能力，</w:t>
      </w:r>
      <w:r>
        <w:rPr>
          <w:rFonts w:cs="宋体"/>
          <w:szCs w:val="24"/>
        </w:rPr>
        <w:t>展示创新创造风采</w:t>
      </w:r>
      <w:r>
        <w:rPr>
          <w:rFonts w:hint="eastAsia" w:cs="宋体"/>
          <w:szCs w:val="24"/>
        </w:rPr>
        <w:t>。</w:t>
      </w:r>
    </w:p>
    <w:p>
      <w:pPr>
        <w:numPr>
          <w:ilvl w:val="255"/>
          <w:numId w:val="0"/>
        </w:numPr>
        <w:snapToGrid w:val="0"/>
        <w:spacing w:line="580" w:lineRule="exact"/>
        <w:ind w:firstLine="482" w:firstLineChars="200"/>
        <w:rPr>
          <w:rFonts w:cs="宋体"/>
          <w:b/>
          <w:bCs/>
          <w:szCs w:val="24"/>
        </w:rPr>
      </w:pPr>
      <w:r>
        <w:rPr>
          <w:rFonts w:hint="eastAsia" w:cs="宋体"/>
          <w:b/>
          <w:bCs/>
          <w:szCs w:val="24"/>
        </w:rPr>
        <w:t>二、项目内容</w:t>
      </w:r>
    </w:p>
    <w:p>
      <w:pPr>
        <w:snapToGrid w:val="0"/>
        <w:spacing w:line="580" w:lineRule="exact"/>
        <w:ind w:firstLine="482"/>
        <w:rPr>
          <w:rFonts w:cs="Arial"/>
          <w:b/>
          <w:szCs w:val="24"/>
          <w:shd w:val="clear" w:color="auto" w:fill="FFFFFF"/>
        </w:rPr>
      </w:pPr>
      <w:r>
        <w:rPr>
          <w:rFonts w:hint="eastAsia" w:cs="Arial"/>
          <w:b/>
          <w:szCs w:val="24"/>
          <w:shd w:val="clear" w:color="auto" w:fill="FFFFFF"/>
        </w:rPr>
        <w:t>1.策划设计</w:t>
      </w:r>
    </w:p>
    <w:p>
      <w:pPr>
        <w:snapToGrid w:val="0"/>
        <w:spacing w:line="580" w:lineRule="exact"/>
        <w:ind w:firstLine="480"/>
        <w:rPr>
          <w:rFonts w:cs="宋体"/>
          <w:szCs w:val="24"/>
        </w:rPr>
      </w:pPr>
      <w:r>
        <w:rPr>
          <w:rFonts w:hint="eastAsia" w:cs="宋体"/>
          <w:szCs w:val="24"/>
        </w:rPr>
        <w:t>为冠军团队参赛学生和学校指导老师约15人（学生10人，老师5人）策划设计主题研学路线。主题可围绕前沿科技为主题，活动时间不少于5天，形成主题研学策划方案，包含主题、时间、行程规划、亮点活动等。研学活动应包含参观科技场馆或科研院所、组织科学教育活动等形式，活动中需邀请专家进行授课或分享交流。</w:t>
      </w:r>
    </w:p>
    <w:p>
      <w:pPr>
        <w:ind w:left="643" w:firstLine="0" w:firstLineChars="0"/>
        <w:rPr>
          <w:rFonts w:cs="Arial"/>
          <w:b/>
          <w:szCs w:val="24"/>
          <w:shd w:val="clear" w:color="auto" w:fill="FFFFFF"/>
        </w:rPr>
      </w:pPr>
      <w:r>
        <w:rPr>
          <w:rFonts w:hint="eastAsia" w:cs="Arial"/>
          <w:b/>
          <w:szCs w:val="24"/>
          <w:shd w:val="clear" w:color="auto" w:fill="FFFFFF"/>
        </w:rPr>
        <w:t>2.人员沟通和管理</w:t>
      </w:r>
    </w:p>
    <w:p>
      <w:pPr>
        <w:snapToGrid w:val="0"/>
        <w:spacing w:line="580" w:lineRule="exact"/>
        <w:ind w:firstLine="480"/>
        <w:rPr>
          <w:rFonts w:cs="宋体"/>
          <w:szCs w:val="24"/>
        </w:rPr>
      </w:pPr>
      <w:r>
        <w:rPr>
          <w:rFonts w:hint="eastAsia" w:cs="宋体"/>
          <w:szCs w:val="24"/>
        </w:rPr>
        <w:t>对参与人员进行沟通和管理，如行程安排和跟踪、人员信息收集和汇总，人员引导和组织、专家服务等，保障研学活动顺利推进。</w:t>
      </w:r>
    </w:p>
    <w:p>
      <w:pPr>
        <w:ind w:left="643" w:firstLine="0" w:firstLineChars="0"/>
        <w:rPr>
          <w:rFonts w:cs="Arial"/>
          <w:b/>
          <w:szCs w:val="24"/>
          <w:shd w:val="clear" w:color="auto" w:fill="FFFFFF"/>
        </w:rPr>
      </w:pPr>
      <w:r>
        <w:rPr>
          <w:rFonts w:hint="eastAsia" w:cs="Arial"/>
          <w:b/>
          <w:szCs w:val="24"/>
          <w:shd w:val="clear" w:color="auto" w:fill="FFFFFF"/>
        </w:rPr>
        <w:t>3.组建专业团队</w:t>
      </w:r>
    </w:p>
    <w:p>
      <w:pPr>
        <w:snapToGrid w:val="0"/>
        <w:spacing w:line="580" w:lineRule="exact"/>
        <w:ind w:firstLine="480"/>
        <w:rPr>
          <w:rFonts w:cs="宋体"/>
          <w:szCs w:val="24"/>
        </w:rPr>
      </w:pPr>
      <w:r>
        <w:rPr>
          <w:rFonts w:hint="eastAsia" w:cs="宋体"/>
          <w:szCs w:val="24"/>
        </w:rPr>
        <w:t>组建专业团队，包含策划设计人员、专职向导、摄影师、后勤保障等人员。</w:t>
      </w:r>
    </w:p>
    <w:p>
      <w:pPr>
        <w:ind w:left="643" w:firstLine="0" w:firstLineChars="0"/>
        <w:rPr>
          <w:rFonts w:cs="Arial"/>
          <w:b/>
          <w:szCs w:val="24"/>
          <w:shd w:val="clear" w:color="auto" w:fill="FFFFFF"/>
        </w:rPr>
      </w:pPr>
      <w:r>
        <w:rPr>
          <w:rFonts w:hint="eastAsia" w:cs="Arial"/>
          <w:b/>
          <w:szCs w:val="24"/>
          <w:shd w:val="clear" w:color="auto" w:fill="FFFFFF"/>
        </w:rPr>
        <w:t>4.保障服务</w:t>
      </w:r>
    </w:p>
    <w:p>
      <w:pPr>
        <w:snapToGrid w:val="0"/>
        <w:spacing w:line="580" w:lineRule="exact"/>
        <w:ind w:firstLine="480"/>
        <w:rPr>
          <w:rFonts w:cs="Arial"/>
          <w:szCs w:val="24"/>
          <w:shd w:val="clear" w:color="auto" w:fill="FFFFFF"/>
        </w:rPr>
      </w:pPr>
      <w:r>
        <w:rPr>
          <w:rFonts w:hint="eastAsia" w:cs="Arial"/>
          <w:szCs w:val="24"/>
          <w:shd w:val="clear" w:color="auto" w:fill="FFFFFF"/>
        </w:rPr>
        <w:t>（1）负责协调参与人员的行程，并支付各项交通和参观费用，包含参与人员所在城市与研学活动地的往返交通、研学活动中的各种城市间交通和市内交通、活动场馆门票等。</w:t>
      </w:r>
    </w:p>
    <w:p>
      <w:pPr>
        <w:snapToGrid w:val="0"/>
        <w:spacing w:line="580" w:lineRule="exact"/>
        <w:ind w:firstLine="480"/>
        <w:rPr>
          <w:rFonts w:cs="Arial"/>
          <w:szCs w:val="24"/>
          <w:shd w:val="clear" w:color="auto" w:fill="FFFFFF"/>
        </w:rPr>
      </w:pPr>
      <w:r>
        <w:rPr>
          <w:rFonts w:hint="eastAsia" w:cs="Arial"/>
          <w:szCs w:val="24"/>
          <w:shd w:val="clear" w:color="auto" w:fill="FFFFFF"/>
        </w:rPr>
        <w:t>（2）保障研学活动期间参与人员全程三星及以上标准住宿，以及早、午、晚餐，餐饮标准不低于120元/天。</w:t>
      </w:r>
    </w:p>
    <w:p>
      <w:pPr>
        <w:snapToGrid w:val="0"/>
        <w:spacing w:line="580" w:lineRule="exact"/>
        <w:ind w:firstLine="480"/>
        <w:rPr>
          <w:rFonts w:cs="Arial"/>
          <w:szCs w:val="24"/>
          <w:shd w:val="clear" w:color="auto" w:fill="FFFFFF"/>
        </w:rPr>
      </w:pPr>
      <w:r>
        <w:rPr>
          <w:rFonts w:hint="eastAsia" w:cs="Arial"/>
          <w:szCs w:val="24"/>
          <w:shd w:val="clear" w:color="auto" w:fill="FFFFFF"/>
        </w:rPr>
        <w:t>（3）研学活动期间，为每位参与人员购买全程保险。</w:t>
      </w:r>
    </w:p>
    <w:p>
      <w:pPr>
        <w:ind w:firstLine="480"/>
        <w:rPr>
          <w:rFonts w:cs="Arial"/>
          <w:szCs w:val="24"/>
          <w:shd w:val="clear" w:color="auto" w:fill="FFFFFF"/>
        </w:rPr>
      </w:pPr>
      <w:r>
        <w:rPr>
          <w:rFonts w:hint="eastAsia" w:cs="Arial"/>
          <w:szCs w:val="24"/>
          <w:shd w:val="clear" w:color="auto" w:fill="FFFFFF"/>
        </w:rPr>
        <w:t>（4）保障研学活动期间参与人员的用水、相关宣传物料、应急医疗物资等。</w:t>
      </w:r>
    </w:p>
    <w:p>
      <w:pPr>
        <w:ind w:left="643" w:firstLine="0" w:firstLineChars="0"/>
        <w:rPr>
          <w:rFonts w:cs="Arial"/>
          <w:b/>
          <w:szCs w:val="24"/>
          <w:shd w:val="clear" w:color="auto" w:fill="FFFFFF"/>
        </w:rPr>
      </w:pPr>
      <w:r>
        <w:rPr>
          <w:rFonts w:hint="eastAsia" w:cs="Arial"/>
          <w:b/>
          <w:szCs w:val="24"/>
          <w:shd w:val="clear" w:color="auto" w:fill="FFFFFF"/>
        </w:rPr>
        <w:t>5.总结</w:t>
      </w:r>
    </w:p>
    <w:p>
      <w:pPr>
        <w:snapToGrid w:val="0"/>
        <w:spacing w:line="580" w:lineRule="exact"/>
        <w:ind w:firstLine="480"/>
        <w:rPr>
          <w:rFonts w:cs="宋体"/>
          <w:szCs w:val="24"/>
        </w:rPr>
      </w:pPr>
      <w:r>
        <w:rPr>
          <w:rFonts w:hint="eastAsia" w:cs="宋体"/>
          <w:szCs w:val="24"/>
        </w:rPr>
        <w:t>研学活动结束后，形成总结视频1个，时长不少于3分钟，总结报告1份，高清照片不少于30张。</w:t>
      </w:r>
    </w:p>
    <w:p>
      <w:pPr>
        <w:ind w:firstLine="480"/>
        <w:rPr>
          <w:lang w:val="zh-CN"/>
        </w:rPr>
      </w:pPr>
      <w:r>
        <w:rPr>
          <w:lang w:val="zh-CN"/>
        </w:rPr>
        <w:br w:type="page"/>
      </w:r>
    </w:p>
    <w:p>
      <w:pPr>
        <w:ind w:firstLine="480"/>
        <w:rPr>
          <w:lang w:val="zh-CN"/>
        </w:rPr>
      </w:pPr>
    </w:p>
    <w:p>
      <w:pPr>
        <w:pStyle w:val="37"/>
        <w:ind w:firstLine="643"/>
        <w:rPr>
          <w:sz w:val="32"/>
          <w:szCs w:val="32"/>
        </w:rPr>
      </w:pPr>
      <w:bookmarkStart w:id="2" w:name="_Toc6841"/>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评审小组：数量、专业等按中国科协相关采购管理规定组成；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0"/>
      </w:pPr>
      <w:r>
        <w:rPr>
          <w:rFonts w:hint="eastAsia"/>
        </w:rPr>
        <w:t>（4）申报单位</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rPr>
        <w:t>报价超出本项目预算金额的，评审小组按其无效处理。</w:t>
      </w:r>
    </w:p>
    <w:p>
      <w:pPr>
        <w:ind w:firstLine="482"/>
        <w:rPr>
          <w:rFonts w:asciiTheme="minorEastAsia" w:hAnsiTheme="minorEastAsia" w:eastAsiaTheme="minorEastAsia"/>
          <w:szCs w:val="24"/>
        </w:rPr>
      </w:pPr>
      <w:r>
        <w:rPr>
          <w:rFonts w:hint="eastAsia"/>
          <w:b/>
        </w:rPr>
        <w:t>二、评分表</w:t>
      </w:r>
    </w:p>
    <w:tbl>
      <w:tblPr>
        <w:tblStyle w:val="18"/>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06"/>
        <w:gridCol w:w="576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47" w:type="dxa"/>
            <w:gridSpan w:val="2"/>
            <w:vAlign w:val="center"/>
          </w:tcPr>
          <w:p>
            <w:pPr>
              <w:snapToGrid w:val="0"/>
              <w:spacing w:line="580" w:lineRule="exact"/>
              <w:ind w:firstLine="0" w:firstLineChars="0"/>
              <w:jc w:val="center"/>
              <w:rPr>
                <w:b/>
                <w:szCs w:val="24"/>
              </w:rPr>
            </w:pPr>
            <w:r>
              <w:rPr>
                <w:rFonts w:hint="eastAsia"/>
                <w:b/>
                <w:szCs w:val="24"/>
              </w:rPr>
              <w:t>评审因素</w:t>
            </w:r>
          </w:p>
        </w:tc>
        <w:tc>
          <w:tcPr>
            <w:tcW w:w="5762" w:type="dxa"/>
            <w:vAlign w:val="center"/>
          </w:tcPr>
          <w:p>
            <w:pPr>
              <w:snapToGrid w:val="0"/>
              <w:spacing w:line="580" w:lineRule="exact"/>
              <w:ind w:firstLine="482"/>
              <w:jc w:val="center"/>
              <w:rPr>
                <w:b/>
                <w:szCs w:val="24"/>
              </w:rPr>
            </w:pPr>
            <w:r>
              <w:rPr>
                <w:rFonts w:hint="eastAsia"/>
                <w:b/>
                <w:szCs w:val="24"/>
              </w:rPr>
              <w:t>说明</w:t>
            </w:r>
          </w:p>
        </w:tc>
        <w:tc>
          <w:tcPr>
            <w:tcW w:w="807" w:type="dxa"/>
            <w:vAlign w:val="center"/>
          </w:tcPr>
          <w:p>
            <w:pPr>
              <w:snapToGrid w:val="0"/>
              <w:spacing w:line="580" w:lineRule="exact"/>
              <w:ind w:firstLine="0" w:firstLineChars="0"/>
              <w:jc w:val="center"/>
              <w:rPr>
                <w:b/>
                <w:szCs w:val="24"/>
              </w:rPr>
            </w:pPr>
            <w:r>
              <w:rPr>
                <w:rFonts w:hint="eastAsia"/>
                <w:b/>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947" w:type="dxa"/>
            <w:gridSpan w:val="2"/>
            <w:vAlign w:val="center"/>
          </w:tcPr>
          <w:p>
            <w:pPr>
              <w:snapToGrid w:val="0"/>
              <w:spacing w:line="240" w:lineRule="auto"/>
              <w:ind w:firstLine="0" w:firstLineChars="0"/>
              <w:jc w:val="center"/>
              <w:rPr>
                <w:szCs w:val="24"/>
              </w:rPr>
            </w:pPr>
            <w:r>
              <w:rPr>
                <w:rFonts w:hint="eastAsia"/>
                <w:szCs w:val="24"/>
              </w:rPr>
              <w:t>价格</w:t>
            </w:r>
          </w:p>
        </w:tc>
        <w:tc>
          <w:tcPr>
            <w:tcW w:w="5762" w:type="dxa"/>
            <w:vAlign w:val="center"/>
          </w:tcPr>
          <w:p>
            <w:pPr>
              <w:widowControl/>
              <w:snapToGrid w:val="0"/>
              <w:spacing w:line="276" w:lineRule="auto"/>
              <w:ind w:firstLine="0" w:firstLineChars="0"/>
              <w:rPr>
                <w:rFonts w:cs="宋体"/>
                <w:color w:val="auto"/>
                <w:szCs w:val="24"/>
                <w:highlight w:val="none"/>
              </w:rPr>
            </w:pPr>
            <w:r>
              <w:rPr>
                <w:rFonts w:hint="eastAsia" w:cs="宋体"/>
                <w:color w:val="auto"/>
                <w:szCs w:val="24"/>
                <w:highlight w:val="none"/>
              </w:rPr>
              <w:t>按申报通知要求对申报项目进行报价，申报单位的报价采用低价优先法计算，满足申报通知要求且价格最低的报价为基准价，其价格分为满分。其它申报的价格分按下列公式计算：申报报价分＝（基准价/申报报价）×100</w:t>
            </w:r>
          </w:p>
          <w:p>
            <w:pPr>
              <w:widowControl/>
              <w:snapToGrid w:val="0"/>
              <w:spacing w:line="240" w:lineRule="auto"/>
              <w:ind w:firstLine="0" w:firstLineChars="0"/>
              <w:rPr>
                <w:szCs w:val="24"/>
              </w:rPr>
            </w:pPr>
            <w:r>
              <w:rPr>
                <w:rFonts w:hint="eastAsia" w:cs="宋体"/>
                <w:color w:val="auto"/>
                <w:szCs w:val="24"/>
                <w:highlight w:val="none"/>
              </w:rPr>
              <w:t>价格分=申报报价得分×2</w:t>
            </w:r>
            <w:r>
              <w:rPr>
                <w:rFonts w:hint="eastAsia" w:cs="宋体"/>
                <w:color w:val="auto"/>
                <w:szCs w:val="24"/>
                <w:highlight w:val="none"/>
                <w:lang w:val="en-US" w:eastAsia="zh-CN"/>
              </w:rPr>
              <w:t>0</w:t>
            </w:r>
            <w:r>
              <w:rPr>
                <w:rFonts w:hint="eastAsia" w:cs="宋体"/>
                <w:color w:val="auto"/>
                <w:szCs w:val="24"/>
                <w:highlight w:val="none"/>
              </w:rPr>
              <w:t>%（计算至小数点后两位）。</w:t>
            </w:r>
          </w:p>
        </w:tc>
        <w:tc>
          <w:tcPr>
            <w:tcW w:w="807" w:type="dxa"/>
            <w:vAlign w:val="center"/>
          </w:tcPr>
          <w:p>
            <w:pPr>
              <w:snapToGrid w:val="0"/>
              <w:spacing w:line="240" w:lineRule="auto"/>
              <w:ind w:firstLine="0" w:firstLineChars="0"/>
              <w:jc w:val="center"/>
              <w:rPr>
                <w:szCs w:val="24"/>
              </w:rPr>
            </w:pPr>
            <w:r>
              <w:rPr>
                <w:rFonts w:hint="eastAsia"/>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947" w:type="dxa"/>
            <w:gridSpan w:val="2"/>
            <w:vAlign w:val="center"/>
          </w:tcPr>
          <w:p>
            <w:pPr>
              <w:snapToGrid w:val="0"/>
              <w:spacing w:line="240" w:lineRule="auto"/>
              <w:ind w:firstLine="0" w:firstLineChars="0"/>
              <w:jc w:val="center"/>
              <w:rPr>
                <w:szCs w:val="24"/>
              </w:rPr>
            </w:pPr>
            <w:r>
              <w:rPr>
                <w:rFonts w:hint="eastAsia"/>
                <w:szCs w:val="24"/>
              </w:rPr>
              <w:t>以往业绩</w:t>
            </w:r>
          </w:p>
        </w:tc>
        <w:tc>
          <w:tcPr>
            <w:tcW w:w="5762" w:type="dxa"/>
            <w:vAlign w:val="center"/>
          </w:tcPr>
          <w:p>
            <w:pPr>
              <w:snapToGrid w:val="0"/>
              <w:spacing w:line="240" w:lineRule="auto"/>
              <w:ind w:firstLine="0" w:firstLineChars="0"/>
              <w:rPr>
                <w:szCs w:val="24"/>
              </w:rPr>
            </w:pPr>
            <w:r>
              <w:rPr>
                <w:szCs w:val="24"/>
              </w:rPr>
              <w:t>20</w:t>
            </w:r>
            <w:r>
              <w:rPr>
                <w:rFonts w:hint="eastAsia"/>
                <w:szCs w:val="24"/>
              </w:rPr>
              <w:t>21</w:t>
            </w:r>
            <w:r>
              <w:rPr>
                <w:szCs w:val="24"/>
              </w:rPr>
              <w:t>年1月</w:t>
            </w:r>
            <w:r>
              <w:rPr>
                <w:rFonts w:hint="eastAsia"/>
                <w:szCs w:val="24"/>
              </w:rPr>
              <w:t>至响应文件递交截止时间，团队承担或参与过类似工作，类似工作需是面向学生和老师的主题研学活动的策划和组织工作。</w:t>
            </w:r>
          </w:p>
          <w:p>
            <w:pPr>
              <w:snapToGrid w:val="0"/>
              <w:spacing w:line="240" w:lineRule="auto"/>
              <w:ind w:firstLine="0" w:firstLineChars="0"/>
              <w:rPr>
                <w:szCs w:val="24"/>
              </w:rPr>
            </w:pPr>
            <w:r>
              <w:rPr>
                <w:rFonts w:hint="eastAsia"/>
                <w:szCs w:val="24"/>
              </w:rPr>
              <w:t>每提供1个业绩得2分，最高得10分。</w:t>
            </w:r>
          </w:p>
          <w:p>
            <w:pPr>
              <w:snapToGrid w:val="0"/>
              <w:spacing w:line="240" w:lineRule="auto"/>
              <w:ind w:firstLine="0" w:firstLineChars="0"/>
              <w:rPr>
                <w:szCs w:val="24"/>
              </w:rPr>
            </w:pPr>
            <w:r>
              <w:rPr>
                <w:rFonts w:hint="eastAsia"/>
                <w:szCs w:val="24"/>
              </w:rPr>
              <w:t>注：业绩以提供的合同复印件为准（</w:t>
            </w:r>
            <w:r>
              <w:rPr>
                <w:szCs w:val="24"/>
              </w:rPr>
              <w:t>包括合同首页、显示项目名称页、显示项目内容页和签署页复印</w:t>
            </w:r>
            <w:r>
              <w:rPr>
                <w:rFonts w:hint="eastAsia"/>
                <w:szCs w:val="24"/>
              </w:rPr>
              <w:t>件），</w:t>
            </w:r>
            <w:r>
              <w:rPr>
                <w:szCs w:val="24"/>
              </w:rPr>
              <w:t>否则视为该</w:t>
            </w:r>
            <w:r>
              <w:rPr>
                <w:rFonts w:hint="eastAsia"/>
                <w:szCs w:val="24"/>
              </w:rPr>
              <w:t>业绩</w:t>
            </w:r>
            <w:r>
              <w:rPr>
                <w:szCs w:val="24"/>
              </w:rPr>
              <w:t>无效</w:t>
            </w:r>
            <w:r>
              <w:rPr>
                <w:rFonts w:hint="eastAsia"/>
                <w:szCs w:val="24"/>
              </w:rPr>
              <w:t>，对应业绩不得分</w:t>
            </w:r>
            <w:r>
              <w:rPr>
                <w:szCs w:val="24"/>
              </w:rPr>
              <w:t>。</w:t>
            </w:r>
            <w:r>
              <w:rPr>
                <w:rFonts w:hint="eastAsia"/>
                <w:szCs w:val="24"/>
              </w:rPr>
              <w:t>业绩日期以合同签订日为准。</w:t>
            </w:r>
          </w:p>
        </w:tc>
        <w:tc>
          <w:tcPr>
            <w:tcW w:w="807" w:type="dxa"/>
            <w:vAlign w:val="center"/>
          </w:tcPr>
          <w:p>
            <w:pPr>
              <w:snapToGrid w:val="0"/>
              <w:spacing w:line="240" w:lineRule="auto"/>
              <w:ind w:firstLine="0" w:firstLineChars="0"/>
              <w:jc w:val="center"/>
              <w:rPr>
                <w:szCs w:val="24"/>
              </w:rPr>
            </w:pPr>
            <w:r>
              <w:rPr>
                <w:rFonts w:hint="eastAsia"/>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41" w:type="dxa"/>
            <w:vMerge w:val="restart"/>
            <w:vAlign w:val="center"/>
          </w:tcPr>
          <w:p>
            <w:pPr>
              <w:snapToGrid w:val="0"/>
              <w:spacing w:line="240" w:lineRule="auto"/>
              <w:ind w:firstLine="0" w:firstLineChars="0"/>
              <w:rPr>
                <w:szCs w:val="24"/>
              </w:rPr>
            </w:pPr>
            <w:r>
              <w:rPr>
                <w:rFonts w:hint="eastAsia"/>
                <w:szCs w:val="24"/>
              </w:rPr>
              <w:t>技术与服务</w:t>
            </w:r>
          </w:p>
        </w:tc>
        <w:tc>
          <w:tcPr>
            <w:tcW w:w="1206" w:type="dxa"/>
            <w:vAlign w:val="center"/>
          </w:tcPr>
          <w:p>
            <w:pPr>
              <w:widowControl/>
              <w:snapToGrid w:val="0"/>
              <w:spacing w:line="580" w:lineRule="exact"/>
              <w:ind w:firstLine="0" w:firstLineChars="0"/>
              <w:jc w:val="center"/>
              <w:rPr>
                <w:szCs w:val="24"/>
              </w:rPr>
            </w:pPr>
            <w:r>
              <w:rPr>
                <w:rFonts w:hint="eastAsia"/>
                <w:szCs w:val="24"/>
              </w:rPr>
              <w:t>主题研学方案完整性</w:t>
            </w:r>
          </w:p>
        </w:tc>
        <w:tc>
          <w:tcPr>
            <w:tcW w:w="5762" w:type="dxa"/>
            <w:vAlign w:val="center"/>
          </w:tcPr>
          <w:p>
            <w:pPr>
              <w:widowControl/>
              <w:snapToGrid w:val="0"/>
              <w:spacing w:line="240" w:lineRule="auto"/>
              <w:ind w:firstLine="0" w:firstLineChars="0"/>
              <w:rPr>
                <w:szCs w:val="24"/>
              </w:rPr>
            </w:pPr>
            <w:r>
              <w:rPr>
                <w:rFonts w:hint="eastAsia"/>
                <w:szCs w:val="24"/>
              </w:rPr>
              <w:t>提交主题研学方案</w:t>
            </w:r>
            <w:r>
              <w:rPr>
                <w:rFonts w:hint="eastAsia" w:cs="Arial"/>
                <w:szCs w:val="24"/>
                <w:shd w:val="clear" w:color="auto" w:fill="FFFFFF"/>
              </w:rPr>
              <w:t>，完整呈现研学主题、行程路线、内容和亮点。</w:t>
            </w:r>
          </w:p>
          <w:p>
            <w:pPr>
              <w:widowControl/>
              <w:snapToGrid w:val="0"/>
              <w:spacing w:line="240" w:lineRule="auto"/>
              <w:ind w:firstLine="0" w:firstLineChars="0"/>
              <w:rPr>
                <w:szCs w:val="24"/>
              </w:rPr>
            </w:pPr>
            <w:r>
              <w:rPr>
                <w:rFonts w:hint="eastAsia"/>
                <w:szCs w:val="24"/>
              </w:rPr>
              <w:t>（a）方案完整，文本条理清晰，完全符合要求</w:t>
            </w:r>
            <w:r>
              <w:rPr>
                <w:rFonts w:hint="eastAsia"/>
                <w:szCs w:val="24"/>
                <w:lang w:eastAsia="zh-CN"/>
              </w:rPr>
              <w:t>，</w:t>
            </w:r>
            <w:r>
              <w:rPr>
                <w:rFonts w:hint="eastAsia"/>
                <w:szCs w:val="24"/>
                <w:lang w:val="en-US" w:eastAsia="zh-CN"/>
              </w:rPr>
              <w:t>得</w:t>
            </w:r>
            <w:r>
              <w:rPr>
                <w:rFonts w:hint="eastAsia"/>
                <w:szCs w:val="24"/>
              </w:rPr>
              <w:t>15分。</w:t>
            </w:r>
          </w:p>
          <w:p>
            <w:pPr>
              <w:widowControl/>
              <w:snapToGrid w:val="0"/>
              <w:spacing w:line="240" w:lineRule="auto"/>
              <w:ind w:firstLine="0" w:firstLineChars="0"/>
              <w:rPr>
                <w:szCs w:val="24"/>
              </w:rPr>
            </w:pPr>
            <w:r>
              <w:rPr>
                <w:rFonts w:hint="eastAsia"/>
                <w:szCs w:val="24"/>
              </w:rPr>
              <w:t>（b）方案较完整，文本条理较清晰，基本符合要求</w:t>
            </w:r>
            <w:r>
              <w:rPr>
                <w:rFonts w:hint="eastAsia"/>
                <w:szCs w:val="24"/>
                <w:lang w:eastAsia="zh-CN"/>
              </w:rPr>
              <w:t>，</w:t>
            </w:r>
            <w:r>
              <w:rPr>
                <w:rFonts w:hint="eastAsia"/>
                <w:szCs w:val="24"/>
                <w:lang w:val="en-US" w:eastAsia="zh-CN"/>
              </w:rPr>
              <w:t>得</w:t>
            </w:r>
            <w:r>
              <w:rPr>
                <w:rFonts w:hint="eastAsia"/>
                <w:szCs w:val="24"/>
              </w:rPr>
              <w:t>10分。</w:t>
            </w:r>
          </w:p>
          <w:p>
            <w:pPr>
              <w:widowControl/>
              <w:snapToGrid w:val="0"/>
              <w:spacing w:line="240" w:lineRule="auto"/>
              <w:ind w:firstLine="0" w:firstLineChars="0"/>
              <w:rPr>
                <w:szCs w:val="24"/>
              </w:rPr>
            </w:pPr>
            <w:r>
              <w:rPr>
                <w:rFonts w:hint="eastAsia"/>
                <w:szCs w:val="24"/>
              </w:rPr>
              <w:t>（c）方案不完整，文本条理不清晰、不符合要求</w:t>
            </w:r>
            <w:r>
              <w:rPr>
                <w:rFonts w:hint="eastAsia"/>
                <w:szCs w:val="24"/>
                <w:lang w:eastAsia="zh-CN"/>
              </w:rPr>
              <w:t>，</w:t>
            </w:r>
            <w:r>
              <w:rPr>
                <w:rFonts w:hint="eastAsia"/>
                <w:szCs w:val="24"/>
                <w:lang w:val="en-US" w:eastAsia="zh-CN"/>
              </w:rPr>
              <w:t>得</w:t>
            </w:r>
            <w:r>
              <w:rPr>
                <w:rFonts w:hint="eastAsia"/>
                <w:szCs w:val="24"/>
              </w:rPr>
              <w:t>0分。</w:t>
            </w:r>
          </w:p>
        </w:tc>
        <w:tc>
          <w:tcPr>
            <w:tcW w:w="807" w:type="dxa"/>
            <w:vAlign w:val="center"/>
          </w:tcPr>
          <w:p>
            <w:pPr>
              <w:snapToGrid w:val="0"/>
              <w:spacing w:line="240" w:lineRule="auto"/>
              <w:ind w:firstLine="0" w:firstLineChars="0"/>
              <w:jc w:val="center"/>
              <w:rPr>
                <w:szCs w:val="24"/>
              </w:rPr>
            </w:pPr>
            <w:r>
              <w:rPr>
                <w:rFonts w:hint="eastAsia"/>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41" w:type="dxa"/>
            <w:vMerge w:val="continue"/>
            <w:vAlign w:val="center"/>
          </w:tcPr>
          <w:p>
            <w:pPr>
              <w:snapToGrid w:val="0"/>
              <w:spacing w:line="240" w:lineRule="auto"/>
              <w:ind w:firstLine="0" w:firstLineChars="0"/>
              <w:rPr>
                <w:szCs w:val="24"/>
              </w:rPr>
            </w:pPr>
          </w:p>
        </w:tc>
        <w:tc>
          <w:tcPr>
            <w:tcW w:w="1206" w:type="dxa"/>
            <w:vAlign w:val="center"/>
          </w:tcPr>
          <w:p>
            <w:pPr>
              <w:widowControl/>
              <w:snapToGrid w:val="0"/>
              <w:spacing w:line="580" w:lineRule="exact"/>
              <w:ind w:firstLine="0" w:firstLineChars="0"/>
              <w:jc w:val="center"/>
              <w:rPr>
                <w:szCs w:val="24"/>
                <w:highlight w:val="yellow"/>
              </w:rPr>
            </w:pPr>
            <w:r>
              <w:rPr>
                <w:rFonts w:hint="eastAsia"/>
                <w:szCs w:val="24"/>
              </w:rPr>
              <w:t>主题研学路线可行性</w:t>
            </w:r>
          </w:p>
        </w:tc>
        <w:tc>
          <w:tcPr>
            <w:tcW w:w="5762" w:type="dxa"/>
            <w:vAlign w:val="center"/>
          </w:tcPr>
          <w:p>
            <w:pPr>
              <w:widowControl/>
              <w:snapToGrid w:val="0"/>
              <w:spacing w:line="240" w:lineRule="auto"/>
              <w:ind w:firstLine="0" w:firstLineChars="0"/>
              <w:rPr>
                <w:szCs w:val="24"/>
              </w:rPr>
            </w:pPr>
            <w:r>
              <w:rPr>
                <w:rFonts w:hint="eastAsia"/>
                <w:szCs w:val="24"/>
              </w:rPr>
              <w:t>提交主题研学路线可行性高，符合大赛理念和要求。</w:t>
            </w:r>
          </w:p>
          <w:p>
            <w:pPr>
              <w:widowControl/>
              <w:snapToGrid w:val="0"/>
              <w:spacing w:line="240" w:lineRule="auto"/>
              <w:ind w:firstLine="0" w:firstLineChars="0"/>
              <w:rPr>
                <w:szCs w:val="24"/>
              </w:rPr>
            </w:pPr>
            <w:r>
              <w:rPr>
                <w:rFonts w:hint="eastAsia"/>
                <w:szCs w:val="24"/>
              </w:rPr>
              <w:t>（a）可行性高，便于实际操作、执行，符合大赛理念和要求</w:t>
            </w:r>
            <w:r>
              <w:rPr>
                <w:rFonts w:hint="eastAsia"/>
                <w:szCs w:val="24"/>
                <w:lang w:eastAsia="zh-CN"/>
              </w:rPr>
              <w:t>，</w:t>
            </w:r>
            <w:r>
              <w:rPr>
                <w:rFonts w:hint="eastAsia"/>
                <w:szCs w:val="24"/>
                <w:lang w:val="en-US" w:eastAsia="zh-CN"/>
              </w:rPr>
              <w:t>得</w:t>
            </w:r>
            <w:r>
              <w:rPr>
                <w:rFonts w:hint="eastAsia"/>
                <w:szCs w:val="24"/>
              </w:rPr>
              <w:t>15分。</w:t>
            </w:r>
          </w:p>
          <w:p>
            <w:pPr>
              <w:widowControl/>
              <w:snapToGrid w:val="0"/>
              <w:spacing w:line="240" w:lineRule="auto"/>
              <w:ind w:firstLine="0" w:firstLineChars="0"/>
              <w:rPr>
                <w:szCs w:val="24"/>
              </w:rPr>
            </w:pPr>
            <w:r>
              <w:rPr>
                <w:rFonts w:hint="eastAsia"/>
                <w:szCs w:val="24"/>
              </w:rPr>
              <w:t>（b）可行性较高，较便于实际操作、执行，基本符合大赛理念和要求</w:t>
            </w:r>
            <w:r>
              <w:rPr>
                <w:rFonts w:hint="eastAsia"/>
                <w:szCs w:val="24"/>
                <w:lang w:eastAsia="zh-CN"/>
              </w:rPr>
              <w:t>，</w:t>
            </w:r>
            <w:r>
              <w:rPr>
                <w:rFonts w:hint="eastAsia"/>
                <w:szCs w:val="24"/>
                <w:lang w:val="en-US" w:eastAsia="zh-CN"/>
              </w:rPr>
              <w:t>得</w:t>
            </w:r>
            <w:r>
              <w:rPr>
                <w:rFonts w:hint="eastAsia"/>
                <w:szCs w:val="24"/>
              </w:rPr>
              <w:t>10分。</w:t>
            </w:r>
          </w:p>
          <w:p>
            <w:pPr>
              <w:widowControl/>
              <w:snapToGrid w:val="0"/>
              <w:spacing w:line="240" w:lineRule="auto"/>
              <w:ind w:firstLine="0" w:firstLineChars="0"/>
              <w:rPr>
                <w:szCs w:val="24"/>
              </w:rPr>
            </w:pPr>
            <w:r>
              <w:rPr>
                <w:rFonts w:hint="eastAsia"/>
                <w:szCs w:val="24"/>
              </w:rPr>
              <w:t>（c）可行性不高，不便于实际操作、执行，不符合大赛理念和要求</w:t>
            </w:r>
            <w:r>
              <w:rPr>
                <w:rFonts w:hint="eastAsia"/>
                <w:szCs w:val="24"/>
                <w:lang w:eastAsia="zh-CN"/>
              </w:rPr>
              <w:t>，</w:t>
            </w:r>
            <w:r>
              <w:rPr>
                <w:rFonts w:hint="eastAsia"/>
                <w:szCs w:val="24"/>
                <w:lang w:val="en-US" w:eastAsia="zh-CN"/>
              </w:rPr>
              <w:t>得</w:t>
            </w:r>
            <w:r>
              <w:rPr>
                <w:rFonts w:hint="eastAsia"/>
                <w:szCs w:val="24"/>
              </w:rPr>
              <w:t>0分。</w:t>
            </w:r>
          </w:p>
        </w:tc>
        <w:tc>
          <w:tcPr>
            <w:tcW w:w="807" w:type="dxa"/>
            <w:vAlign w:val="center"/>
          </w:tcPr>
          <w:p>
            <w:pPr>
              <w:snapToGrid w:val="0"/>
              <w:spacing w:line="240" w:lineRule="auto"/>
              <w:ind w:firstLine="0" w:firstLineChars="0"/>
              <w:jc w:val="center"/>
              <w:rPr>
                <w:szCs w:val="24"/>
              </w:rPr>
            </w:pPr>
            <w:r>
              <w:rPr>
                <w:rFonts w:hint="eastAsia"/>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41" w:type="dxa"/>
            <w:vMerge w:val="continue"/>
            <w:vAlign w:val="center"/>
          </w:tcPr>
          <w:p>
            <w:pPr>
              <w:snapToGrid w:val="0"/>
              <w:spacing w:line="240" w:lineRule="auto"/>
              <w:ind w:firstLine="0" w:firstLineChars="0"/>
              <w:rPr>
                <w:szCs w:val="24"/>
              </w:rPr>
            </w:pPr>
          </w:p>
        </w:tc>
        <w:tc>
          <w:tcPr>
            <w:tcW w:w="1206" w:type="dxa"/>
            <w:vAlign w:val="center"/>
          </w:tcPr>
          <w:p>
            <w:pPr>
              <w:widowControl/>
              <w:snapToGrid w:val="0"/>
              <w:spacing w:line="580" w:lineRule="exact"/>
              <w:ind w:firstLine="0" w:firstLineChars="0"/>
              <w:jc w:val="center"/>
              <w:rPr>
                <w:szCs w:val="24"/>
              </w:rPr>
            </w:pPr>
            <w:r>
              <w:rPr>
                <w:rFonts w:hint="eastAsia"/>
                <w:szCs w:val="24"/>
              </w:rPr>
              <w:t>人员组织与管理</w:t>
            </w:r>
          </w:p>
        </w:tc>
        <w:tc>
          <w:tcPr>
            <w:tcW w:w="5762" w:type="dxa"/>
            <w:vAlign w:val="center"/>
          </w:tcPr>
          <w:p>
            <w:pPr>
              <w:widowControl/>
              <w:snapToGrid w:val="0"/>
              <w:spacing w:line="240" w:lineRule="auto"/>
              <w:ind w:firstLine="0" w:firstLineChars="0"/>
              <w:rPr>
                <w:szCs w:val="24"/>
              </w:rPr>
            </w:pPr>
            <w:r>
              <w:rPr>
                <w:rFonts w:hint="eastAsia"/>
                <w:szCs w:val="24"/>
              </w:rPr>
              <w:t>建立与组委会和参与人员的沟通管理机制，完成参与人员信息整理、人员跟踪和组织管理等工作。</w:t>
            </w:r>
          </w:p>
          <w:p>
            <w:pPr>
              <w:widowControl/>
              <w:snapToGrid w:val="0"/>
              <w:spacing w:line="240" w:lineRule="auto"/>
              <w:ind w:firstLine="0" w:firstLineChars="0"/>
              <w:rPr>
                <w:szCs w:val="24"/>
              </w:rPr>
            </w:pPr>
            <w:r>
              <w:rPr>
                <w:rFonts w:hint="eastAsia"/>
                <w:szCs w:val="24"/>
              </w:rPr>
              <w:t>（a）沟通管理机制完善</w:t>
            </w:r>
            <w:r>
              <w:rPr>
                <w:rFonts w:hint="eastAsia"/>
                <w:szCs w:val="24"/>
                <w:lang w:eastAsia="zh-CN"/>
              </w:rPr>
              <w:t>，</w:t>
            </w:r>
            <w:r>
              <w:rPr>
                <w:rFonts w:hint="eastAsia"/>
                <w:szCs w:val="24"/>
              </w:rPr>
              <w:t>得10分。</w:t>
            </w:r>
          </w:p>
          <w:p>
            <w:pPr>
              <w:widowControl/>
              <w:snapToGrid w:val="0"/>
              <w:spacing w:line="240" w:lineRule="auto"/>
              <w:ind w:firstLine="0" w:firstLineChars="0"/>
              <w:rPr>
                <w:szCs w:val="24"/>
              </w:rPr>
            </w:pPr>
            <w:r>
              <w:rPr>
                <w:rFonts w:hint="eastAsia"/>
                <w:szCs w:val="24"/>
              </w:rPr>
              <w:t>（b）沟通管理机制较完善</w:t>
            </w:r>
            <w:r>
              <w:rPr>
                <w:rFonts w:hint="eastAsia"/>
                <w:szCs w:val="24"/>
                <w:lang w:eastAsia="zh-CN"/>
              </w:rPr>
              <w:t>，</w:t>
            </w:r>
            <w:r>
              <w:rPr>
                <w:rFonts w:hint="eastAsia"/>
                <w:szCs w:val="24"/>
              </w:rPr>
              <w:t>得5分。</w:t>
            </w:r>
          </w:p>
          <w:p>
            <w:pPr>
              <w:widowControl/>
              <w:snapToGrid w:val="0"/>
              <w:spacing w:line="240" w:lineRule="auto"/>
              <w:ind w:firstLine="0" w:firstLineChars="0"/>
              <w:rPr>
                <w:szCs w:val="24"/>
              </w:rPr>
            </w:pPr>
            <w:r>
              <w:rPr>
                <w:rFonts w:hint="eastAsia"/>
                <w:szCs w:val="24"/>
              </w:rPr>
              <w:t>（c）沟通管理机制无法满足要求</w:t>
            </w:r>
            <w:r>
              <w:rPr>
                <w:rFonts w:hint="eastAsia"/>
                <w:szCs w:val="24"/>
                <w:lang w:eastAsia="zh-CN"/>
              </w:rPr>
              <w:t>，</w:t>
            </w:r>
            <w:r>
              <w:rPr>
                <w:rFonts w:hint="eastAsia"/>
                <w:szCs w:val="24"/>
              </w:rPr>
              <w:t>得0分。</w:t>
            </w:r>
          </w:p>
        </w:tc>
        <w:tc>
          <w:tcPr>
            <w:tcW w:w="807" w:type="dxa"/>
            <w:vAlign w:val="center"/>
          </w:tcPr>
          <w:p>
            <w:pPr>
              <w:snapToGrid w:val="0"/>
              <w:spacing w:line="240" w:lineRule="auto"/>
              <w:ind w:firstLine="0" w:firstLineChars="0"/>
              <w:jc w:val="center"/>
              <w:rPr>
                <w:szCs w:val="24"/>
              </w:rPr>
            </w:pPr>
            <w:r>
              <w:rPr>
                <w:rFonts w:hint="eastAsia"/>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41" w:type="dxa"/>
            <w:vMerge w:val="continue"/>
            <w:vAlign w:val="center"/>
          </w:tcPr>
          <w:p>
            <w:pPr>
              <w:snapToGrid w:val="0"/>
              <w:spacing w:line="240" w:lineRule="auto"/>
              <w:ind w:firstLine="0" w:firstLineChars="0"/>
              <w:rPr>
                <w:szCs w:val="24"/>
              </w:rPr>
            </w:pPr>
          </w:p>
        </w:tc>
        <w:tc>
          <w:tcPr>
            <w:tcW w:w="1206" w:type="dxa"/>
            <w:vAlign w:val="center"/>
          </w:tcPr>
          <w:p>
            <w:pPr>
              <w:widowControl/>
              <w:snapToGrid w:val="0"/>
              <w:spacing w:line="580" w:lineRule="exact"/>
              <w:ind w:firstLine="0" w:firstLineChars="0"/>
              <w:jc w:val="center"/>
              <w:rPr>
                <w:szCs w:val="24"/>
              </w:rPr>
            </w:pPr>
            <w:r>
              <w:rPr>
                <w:rFonts w:hint="eastAsia"/>
                <w:szCs w:val="24"/>
              </w:rPr>
              <w:t>专业团队组建</w:t>
            </w:r>
          </w:p>
        </w:tc>
        <w:tc>
          <w:tcPr>
            <w:tcW w:w="5762" w:type="dxa"/>
            <w:vAlign w:val="center"/>
          </w:tcPr>
          <w:p>
            <w:pPr>
              <w:widowControl/>
              <w:snapToGrid w:val="0"/>
              <w:spacing w:line="240" w:lineRule="auto"/>
              <w:ind w:firstLine="0" w:firstLineChars="0"/>
              <w:rPr>
                <w:szCs w:val="24"/>
              </w:rPr>
            </w:pPr>
            <w:r>
              <w:rPr>
                <w:rFonts w:hint="eastAsia"/>
                <w:szCs w:val="24"/>
              </w:rPr>
              <w:t>组建专业团队。</w:t>
            </w:r>
          </w:p>
          <w:p>
            <w:pPr>
              <w:widowControl/>
              <w:snapToGrid w:val="0"/>
              <w:spacing w:line="240" w:lineRule="auto"/>
              <w:ind w:firstLine="0" w:firstLineChars="0"/>
              <w:rPr>
                <w:szCs w:val="24"/>
                <w:highlight w:val="none"/>
              </w:rPr>
            </w:pPr>
            <w:r>
              <w:rPr>
                <w:rFonts w:hint="eastAsia"/>
                <w:szCs w:val="24"/>
              </w:rPr>
              <w:t>（a）包含策划设计、专职向导、摄影师、后勤保障等不少于</w:t>
            </w:r>
            <w:r>
              <w:rPr>
                <w:rFonts w:hint="eastAsia"/>
                <w:szCs w:val="24"/>
                <w:highlight w:val="none"/>
              </w:rPr>
              <w:t>5人</w:t>
            </w:r>
            <w:r>
              <w:rPr>
                <w:rFonts w:hint="eastAsia"/>
                <w:szCs w:val="24"/>
                <w:highlight w:val="none"/>
                <w:lang w:eastAsia="zh-CN"/>
              </w:rPr>
              <w:t>，</w:t>
            </w:r>
            <w:r>
              <w:rPr>
                <w:rFonts w:hint="eastAsia"/>
                <w:szCs w:val="24"/>
                <w:highlight w:val="none"/>
                <w:lang w:val="en-US" w:eastAsia="zh-CN"/>
              </w:rPr>
              <w:t>得</w:t>
            </w:r>
            <w:r>
              <w:rPr>
                <w:rFonts w:hint="eastAsia"/>
                <w:szCs w:val="24"/>
                <w:highlight w:val="none"/>
              </w:rPr>
              <w:t>10分。</w:t>
            </w:r>
          </w:p>
          <w:p>
            <w:pPr>
              <w:widowControl/>
              <w:snapToGrid w:val="0"/>
              <w:spacing w:line="240" w:lineRule="auto"/>
              <w:ind w:firstLine="0" w:firstLineChars="0"/>
              <w:rPr>
                <w:szCs w:val="24"/>
                <w:highlight w:val="none"/>
              </w:rPr>
            </w:pPr>
            <w:r>
              <w:rPr>
                <w:rFonts w:hint="eastAsia"/>
                <w:szCs w:val="24"/>
                <w:highlight w:val="none"/>
              </w:rPr>
              <w:t>（b）包含策划设计、专职向导、摄影师、后勤保障等3-5人</w:t>
            </w:r>
            <w:r>
              <w:rPr>
                <w:rFonts w:hint="eastAsia" w:cs="Arial"/>
                <w:szCs w:val="24"/>
                <w:highlight w:val="none"/>
                <w:shd w:val="clear" w:color="auto" w:fill="FFFFFF"/>
                <w:lang w:eastAsia="zh-CN"/>
              </w:rPr>
              <w:t>，</w:t>
            </w:r>
            <w:r>
              <w:rPr>
                <w:rFonts w:hint="eastAsia" w:cs="Arial"/>
                <w:szCs w:val="24"/>
                <w:highlight w:val="none"/>
                <w:shd w:val="clear" w:color="auto" w:fill="FFFFFF"/>
                <w:lang w:val="en-US" w:eastAsia="zh-CN"/>
              </w:rPr>
              <w:t>得</w:t>
            </w:r>
            <w:r>
              <w:rPr>
                <w:rFonts w:hint="eastAsia"/>
                <w:szCs w:val="24"/>
                <w:highlight w:val="none"/>
              </w:rPr>
              <w:t>5分。</w:t>
            </w:r>
          </w:p>
          <w:p>
            <w:pPr>
              <w:widowControl/>
              <w:snapToGrid w:val="0"/>
              <w:spacing w:line="240" w:lineRule="auto"/>
              <w:ind w:firstLine="0" w:firstLineChars="0"/>
              <w:rPr>
                <w:szCs w:val="24"/>
              </w:rPr>
            </w:pPr>
            <w:r>
              <w:rPr>
                <w:rFonts w:hint="eastAsia"/>
                <w:szCs w:val="24"/>
                <w:highlight w:val="none"/>
              </w:rPr>
              <w:t>（c）包含策划设计</w:t>
            </w:r>
            <w:r>
              <w:rPr>
                <w:rFonts w:hint="eastAsia"/>
                <w:szCs w:val="24"/>
              </w:rPr>
              <w:t>、专职向导、摄影师、后勤保障等少于3人</w:t>
            </w:r>
            <w:r>
              <w:rPr>
                <w:rFonts w:hint="eastAsia" w:cs="Arial"/>
                <w:szCs w:val="24"/>
                <w:shd w:val="clear" w:color="auto" w:fill="FFFFFF"/>
                <w:lang w:eastAsia="zh-CN"/>
              </w:rPr>
              <w:t>，</w:t>
            </w:r>
            <w:r>
              <w:rPr>
                <w:rFonts w:hint="eastAsia"/>
                <w:szCs w:val="24"/>
              </w:rPr>
              <w:t>得0分。</w:t>
            </w:r>
          </w:p>
        </w:tc>
        <w:tc>
          <w:tcPr>
            <w:tcW w:w="807" w:type="dxa"/>
            <w:vAlign w:val="center"/>
          </w:tcPr>
          <w:p>
            <w:pPr>
              <w:snapToGrid w:val="0"/>
              <w:spacing w:line="240" w:lineRule="auto"/>
              <w:ind w:firstLine="0" w:firstLineChars="0"/>
              <w:jc w:val="center"/>
              <w:rPr>
                <w:szCs w:val="24"/>
              </w:rPr>
            </w:pPr>
            <w:r>
              <w:rPr>
                <w:rFonts w:hint="eastAsia"/>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41" w:type="dxa"/>
            <w:vMerge w:val="continue"/>
            <w:vAlign w:val="center"/>
          </w:tcPr>
          <w:p>
            <w:pPr>
              <w:snapToGrid w:val="0"/>
              <w:spacing w:line="240" w:lineRule="auto"/>
              <w:ind w:firstLine="0" w:firstLineChars="0"/>
              <w:rPr>
                <w:szCs w:val="24"/>
              </w:rPr>
            </w:pPr>
          </w:p>
        </w:tc>
        <w:tc>
          <w:tcPr>
            <w:tcW w:w="1206" w:type="dxa"/>
            <w:vAlign w:val="center"/>
          </w:tcPr>
          <w:p>
            <w:pPr>
              <w:widowControl/>
              <w:snapToGrid w:val="0"/>
              <w:spacing w:line="580" w:lineRule="exact"/>
              <w:ind w:firstLine="0" w:firstLineChars="0"/>
              <w:jc w:val="center"/>
              <w:rPr>
                <w:szCs w:val="24"/>
              </w:rPr>
            </w:pPr>
            <w:r>
              <w:rPr>
                <w:rFonts w:hint="eastAsia"/>
                <w:szCs w:val="24"/>
              </w:rPr>
              <w:t>专家授课</w:t>
            </w:r>
          </w:p>
        </w:tc>
        <w:tc>
          <w:tcPr>
            <w:tcW w:w="5762" w:type="dxa"/>
            <w:vAlign w:val="center"/>
          </w:tcPr>
          <w:p>
            <w:pPr>
              <w:widowControl/>
              <w:snapToGrid w:val="0"/>
              <w:spacing w:line="240" w:lineRule="auto"/>
              <w:ind w:firstLine="0" w:firstLineChars="0"/>
              <w:rPr>
                <w:szCs w:val="24"/>
              </w:rPr>
            </w:pPr>
            <w:r>
              <w:rPr>
                <w:rFonts w:hint="eastAsia"/>
                <w:szCs w:val="24"/>
              </w:rPr>
              <w:t>研学活动中邀请专家授课或分享交流。</w:t>
            </w:r>
          </w:p>
          <w:p>
            <w:pPr>
              <w:widowControl/>
              <w:snapToGrid w:val="0"/>
              <w:spacing w:line="240" w:lineRule="auto"/>
              <w:ind w:firstLine="0" w:firstLineChars="0"/>
              <w:rPr>
                <w:szCs w:val="24"/>
              </w:rPr>
            </w:pPr>
            <w:r>
              <w:rPr>
                <w:rFonts w:hint="eastAsia"/>
                <w:szCs w:val="24"/>
              </w:rPr>
              <w:t>（a）邀请专家5位以上</w:t>
            </w:r>
            <w:r>
              <w:rPr>
                <w:rFonts w:hint="eastAsia"/>
                <w:szCs w:val="24"/>
                <w:lang w:eastAsia="zh-CN"/>
              </w:rPr>
              <w:t>，</w:t>
            </w:r>
            <w:r>
              <w:rPr>
                <w:rFonts w:hint="eastAsia"/>
                <w:szCs w:val="24"/>
                <w:lang w:val="en-US" w:eastAsia="zh-CN"/>
              </w:rPr>
              <w:t>得</w:t>
            </w:r>
            <w:r>
              <w:rPr>
                <w:rFonts w:hint="eastAsia"/>
                <w:szCs w:val="24"/>
              </w:rPr>
              <w:t>10分。</w:t>
            </w:r>
          </w:p>
          <w:p>
            <w:pPr>
              <w:widowControl/>
              <w:snapToGrid w:val="0"/>
              <w:spacing w:line="240" w:lineRule="auto"/>
              <w:ind w:firstLine="0" w:firstLineChars="0"/>
              <w:rPr>
                <w:szCs w:val="24"/>
              </w:rPr>
            </w:pPr>
            <w:r>
              <w:rPr>
                <w:rFonts w:hint="eastAsia"/>
                <w:szCs w:val="24"/>
              </w:rPr>
              <w:t>（b）邀请专家3-5位</w:t>
            </w:r>
            <w:r>
              <w:rPr>
                <w:rFonts w:hint="eastAsia" w:cs="Arial"/>
                <w:szCs w:val="24"/>
                <w:shd w:val="clear" w:color="auto" w:fill="FFFFFF"/>
                <w:lang w:eastAsia="zh-CN"/>
              </w:rPr>
              <w:t>，</w:t>
            </w:r>
            <w:r>
              <w:rPr>
                <w:rFonts w:hint="eastAsia" w:cs="Arial"/>
                <w:szCs w:val="24"/>
                <w:shd w:val="clear" w:color="auto" w:fill="FFFFFF"/>
                <w:lang w:val="en-US" w:eastAsia="zh-CN"/>
              </w:rPr>
              <w:t>得</w:t>
            </w:r>
            <w:r>
              <w:rPr>
                <w:rFonts w:hint="eastAsia"/>
                <w:szCs w:val="24"/>
              </w:rPr>
              <w:t>5分。</w:t>
            </w:r>
          </w:p>
          <w:p>
            <w:pPr>
              <w:widowControl/>
              <w:snapToGrid w:val="0"/>
              <w:spacing w:line="240" w:lineRule="auto"/>
              <w:ind w:firstLine="0" w:firstLineChars="0"/>
              <w:rPr>
                <w:szCs w:val="24"/>
              </w:rPr>
            </w:pPr>
            <w:r>
              <w:rPr>
                <w:rFonts w:hint="eastAsia"/>
                <w:szCs w:val="24"/>
              </w:rPr>
              <w:t>（c）邀请专家少于3位</w:t>
            </w:r>
            <w:r>
              <w:rPr>
                <w:rFonts w:hint="eastAsia" w:cs="Arial"/>
                <w:szCs w:val="24"/>
                <w:shd w:val="clear" w:color="auto" w:fill="FFFFFF"/>
                <w:lang w:eastAsia="zh-CN"/>
              </w:rPr>
              <w:t>，</w:t>
            </w:r>
            <w:r>
              <w:rPr>
                <w:rFonts w:hint="eastAsia"/>
                <w:szCs w:val="24"/>
              </w:rPr>
              <w:t>得0分。</w:t>
            </w:r>
          </w:p>
        </w:tc>
        <w:tc>
          <w:tcPr>
            <w:tcW w:w="807" w:type="dxa"/>
            <w:vAlign w:val="center"/>
          </w:tcPr>
          <w:p>
            <w:pPr>
              <w:snapToGrid w:val="0"/>
              <w:spacing w:line="240" w:lineRule="auto"/>
              <w:ind w:firstLine="0" w:firstLineChars="0"/>
              <w:jc w:val="center"/>
              <w:rPr>
                <w:szCs w:val="24"/>
              </w:rPr>
            </w:pPr>
            <w:r>
              <w:rPr>
                <w:rFonts w:hint="eastAsia"/>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741" w:type="dxa"/>
            <w:vMerge w:val="continue"/>
            <w:vAlign w:val="center"/>
          </w:tcPr>
          <w:p>
            <w:pPr>
              <w:snapToGrid w:val="0"/>
              <w:spacing w:line="240" w:lineRule="auto"/>
              <w:ind w:firstLine="0" w:firstLineChars="0"/>
              <w:rPr>
                <w:szCs w:val="24"/>
              </w:rPr>
            </w:pPr>
          </w:p>
        </w:tc>
        <w:tc>
          <w:tcPr>
            <w:tcW w:w="1206" w:type="dxa"/>
            <w:vAlign w:val="center"/>
          </w:tcPr>
          <w:p>
            <w:pPr>
              <w:widowControl/>
              <w:snapToGrid w:val="0"/>
              <w:spacing w:line="580" w:lineRule="exact"/>
              <w:ind w:firstLine="0" w:firstLineChars="0"/>
              <w:jc w:val="center"/>
              <w:rPr>
                <w:szCs w:val="24"/>
              </w:rPr>
            </w:pPr>
            <w:r>
              <w:rPr>
                <w:rFonts w:hint="eastAsia"/>
                <w:szCs w:val="24"/>
              </w:rPr>
              <w:t>保障服务</w:t>
            </w:r>
          </w:p>
        </w:tc>
        <w:tc>
          <w:tcPr>
            <w:tcW w:w="5762" w:type="dxa"/>
            <w:vAlign w:val="center"/>
          </w:tcPr>
          <w:p>
            <w:pPr>
              <w:widowControl/>
              <w:snapToGrid w:val="0"/>
              <w:spacing w:line="240" w:lineRule="auto"/>
              <w:ind w:firstLine="0" w:firstLineChars="0"/>
              <w:rPr>
                <w:szCs w:val="24"/>
              </w:rPr>
            </w:pPr>
            <w:r>
              <w:rPr>
                <w:rFonts w:hint="eastAsia"/>
                <w:szCs w:val="24"/>
              </w:rPr>
              <w:t>保障所有参与人员的交通、门票、住宿、保险、用餐用水，活动宣传、应急医疗等物资。</w:t>
            </w:r>
          </w:p>
          <w:p>
            <w:pPr>
              <w:widowControl/>
              <w:snapToGrid w:val="0"/>
              <w:spacing w:line="240" w:lineRule="auto"/>
              <w:ind w:firstLine="0" w:firstLineChars="0"/>
              <w:rPr>
                <w:szCs w:val="24"/>
              </w:rPr>
            </w:pPr>
            <w:r>
              <w:rPr>
                <w:rFonts w:hint="eastAsia"/>
                <w:szCs w:val="24"/>
              </w:rPr>
              <w:t>（a）保障所有参与人员全程三星及以上标准住宿，交通、门票、保险、用餐用水，活动宣传、应急医疗等物资</w:t>
            </w:r>
            <w:r>
              <w:rPr>
                <w:rFonts w:hint="eastAsia"/>
                <w:szCs w:val="24"/>
                <w:lang w:eastAsia="zh-CN"/>
              </w:rPr>
              <w:t>，</w:t>
            </w:r>
            <w:r>
              <w:rPr>
                <w:rFonts w:hint="eastAsia"/>
                <w:szCs w:val="24"/>
              </w:rPr>
              <w:t>得10分。</w:t>
            </w:r>
          </w:p>
          <w:p>
            <w:pPr>
              <w:widowControl/>
              <w:snapToGrid w:val="0"/>
              <w:spacing w:line="240" w:lineRule="auto"/>
              <w:ind w:firstLine="0" w:firstLineChars="0"/>
              <w:rPr>
                <w:szCs w:val="24"/>
              </w:rPr>
            </w:pPr>
            <w:r>
              <w:rPr>
                <w:rFonts w:hint="eastAsia"/>
                <w:szCs w:val="24"/>
              </w:rPr>
              <w:t>（b）保障所有参与人员全程三星及以上标准住宿，基本保障交通、门票、保险、用餐用水，活动宣传、应急医疗等物资</w:t>
            </w:r>
            <w:r>
              <w:rPr>
                <w:rFonts w:hint="eastAsia"/>
                <w:szCs w:val="24"/>
                <w:lang w:eastAsia="zh-CN"/>
              </w:rPr>
              <w:t>，</w:t>
            </w:r>
            <w:r>
              <w:rPr>
                <w:rFonts w:hint="eastAsia"/>
                <w:szCs w:val="24"/>
              </w:rPr>
              <w:t>得5分。</w:t>
            </w:r>
          </w:p>
          <w:p>
            <w:pPr>
              <w:widowControl/>
              <w:snapToGrid w:val="0"/>
              <w:spacing w:line="240" w:lineRule="auto"/>
              <w:ind w:firstLine="0" w:firstLineChars="0"/>
              <w:rPr>
                <w:szCs w:val="24"/>
              </w:rPr>
            </w:pPr>
            <w:r>
              <w:rPr>
                <w:rFonts w:hint="eastAsia"/>
                <w:szCs w:val="24"/>
              </w:rPr>
              <w:t>（c）无法保障所有参与人员全程三星及以上标准住宿，交通、门票、保险、用餐用水，活动宣传、应急医疗等物资</w:t>
            </w:r>
            <w:r>
              <w:rPr>
                <w:rFonts w:hint="eastAsia"/>
                <w:szCs w:val="24"/>
                <w:lang w:eastAsia="zh-CN"/>
              </w:rPr>
              <w:t>，</w:t>
            </w:r>
            <w:r>
              <w:rPr>
                <w:rFonts w:hint="eastAsia"/>
                <w:szCs w:val="24"/>
              </w:rPr>
              <w:t>得0分。</w:t>
            </w:r>
          </w:p>
        </w:tc>
        <w:tc>
          <w:tcPr>
            <w:tcW w:w="807" w:type="dxa"/>
            <w:vAlign w:val="center"/>
          </w:tcPr>
          <w:p>
            <w:pPr>
              <w:snapToGrid w:val="0"/>
              <w:spacing w:line="240" w:lineRule="auto"/>
              <w:ind w:firstLine="0" w:firstLineChars="0"/>
              <w:jc w:val="center"/>
              <w:rPr>
                <w:szCs w:val="24"/>
              </w:rPr>
            </w:pPr>
            <w:r>
              <w:rPr>
                <w:rFonts w:hint="eastAsia"/>
                <w:szCs w:val="24"/>
              </w:rPr>
              <w:t>10</w:t>
            </w:r>
          </w:p>
        </w:tc>
      </w:tr>
    </w:tbl>
    <w:p>
      <w:pPr>
        <w:ind w:firstLine="480"/>
        <w:rPr>
          <w:rFonts w:asciiTheme="minorEastAsia" w:hAnsiTheme="minorEastAsia" w:eastAsiaTheme="minorEastAsia"/>
          <w:szCs w:val="24"/>
        </w:rPr>
      </w:pPr>
      <w:r>
        <w:rPr>
          <w:rFonts w:asciiTheme="minorEastAsia" w:hAnsiTheme="minorEastAsia" w:eastAsiaTheme="minorEastAsia"/>
          <w:szCs w:val="24"/>
        </w:rPr>
        <w:br w:type="textWrapping" w:clear="all"/>
      </w:r>
    </w:p>
    <w:p>
      <w:pPr>
        <w:widowControl/>
        <w:ind w:firstLine="480"/>
        <w:jc w:val="left"/>
        <w:rPr>
          <w:sz w:val="32"/>
          <w:szCs w:val="32"/>
        </w:rPr>
        <w:sectPr>
          <w:footerReference r:id="rId11" w:type="default"/>
          <w:pgSz w:w="11906" w:h="16838"/>
          <w:pgMar w:top="958" w:right="1803" w:bottom="1440" w:left="1803" w:header="851" w:footer="992" w:gutter="0"/>
          <w:pgNumType w:start="1"/>
          <w:cols w:space="0" w:num="1"/>
          <w:docGrid w:type="lines" w:linePitch="328" w:charSpace="0"/>
        </w:sectPr>
      </w:pPr>
      <w:r>
        <w:br w:type="page"/>
      </w:r>
    </w:p>
    <w:p>
      <w:pPr>
        <w:pStyle w:val="37"/>
        <w:ind w:firstLine="643"/>
        <w:rPr>
          <w:sz w:val="32"/>
          <w:szCs w:val="32"/>
        </w:rPr>
      </w:pPr>
      <w:bookmarkStart w:id="3" w:name="_Toc25910"/>
      <w:r>
        <w:rPr>
          <w:rFonts w:hint="eastAsia"/>
          <w:sz w:val="32"/>
          <w:szCs w:val="32"/>
        </w:rPr>
        <w:t>申报文件格式</w:t>
      </w:r>
      <w:bookmarkEnd w:id="3"/>
    </w:p>
    <w:p>
      <w:pPr>
        <w:pStyle w:val="4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41"/>
        <w:ind w:firstLine="480"/>
      </w:pPr>
    </w:p>
    <w:p>
      <w:pPr>
        <w:pStyle w:val="41"/>
        <w:ind w:firstLine="480"/>
      </w:pPr>
    </w:p>
    <w:p>
      <w:pPr>
        <w:pStyle w:val="41"/>
        <w:ind w:firstLine="480"/>
      </w:pPr>
    </w:p>
    <w:p>
      <w:pPr>
        <w:pStyle w:val="41"/>
        <w:ind w:firstLine="482"/>
        <w:rPr>
          <w:b/>
          <w:bCs/>
        </w:rPr>
      </w:pPr>
      <w:r>
        <w:rPr>
          <w:rFonts w:hint="eastAsia" w:cs="宋体"/>
          <w:b/>
          <w:bCs/>
        </w:rPr>
        <w:t>★</w:t>
      </w:r>
      <w:r>
        <w:rPr>
          <w:rFonts w:hint="eastAsia"/>
          <w:b/>
          <w:bCs/>
        </w:rPr>
        <w:t>文件制作提示：</w:t>
      </w:r>
    </w:p>
    <w:p>
      <w:pPr>
        <w:pStyle w:val="41"/>
        <w:ind w:firstLine="482"/>
        <w:rPr>
          <w:rFonts w:asciiTheme="minorEastAsia" w:hAnsiTheme="minorEastAsia" w:eastAsiaTheme="minorEastAsia"/>
          <w:b/>
          <w:bCs/>
          <w:szCs w:val="24"/>
        </w:rPr>
      </w:pPr>
      <w:r>
        <w:rPr>
          <w:rFonts w:hint="eastAsia"/>
          <w:b/>
          <w:bCs/>
        </w:rPr>
        <w:t>1、</w:t>
      </w:r>
      <w:r>
        <w:rPr>
          <w:rFonts w:hint="eastAsia" w:asciiTheme="minorEastAsia" w:hAnsiTheme="minorEastAsia" w:eastAsiaTheme="minorEastAsia"/>
          <w:b/>
          <w:bCs/>
          <w:szCs w:val="24"/>
        </w:rPr>
        <w:t>《资格文件》：须按照《资格文件》格式编写，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成册，印制2份；</w:t>
      </w:r>
      <w:r>
        <w:rPr>
          <w:rFonts w:hint="eastAsia" w:asciiTheme="minorEastAsia" w:hAnsiTheme="minorEastAsia" w:eastAsiaTheme="minorEastAsia"/>
          <w:b/>
          <w:bCs/>
          <w:szCs w:val="24"/>
        </w:rPr>
        <w:t>电子版1份（U盘形式，加盖公章PDF格式）；</w:t>
      </w:r>
    </w:p>
    <w:p>
      <w:pPr>
        <w:pStyle w:val="41"/>
        <w:ind w:firstLine="482"/>
        <w:rPr>
          <w:b/>
          <w:bCs/>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szCs w:val="24"/>
        </w:rPr>
        <w:t>2、《项目申报书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须按照《项目申报书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成册，印制5份并密封</w:t>
      </w:r>
      <w:r>
        <w:rPr>
          <w:rFonts w:hint="eastAsia" w:asciiTheme="minorEastAsia" w:hAnsiTheme="minorEastAsia" w:eastAsiaTheme="minorEastAsia"/>
          <w:b/>
          <w:bCs/>
          <w:szCs w:val="24"/>
        </w:rPr>
        <w:t>；电子版1份（U盘形式，</w:t>
      </w:r>
      <w:r>
        <w:rPr>
          <w:rFonts w:asciiTheme="minorEastAsia" w:hAnsiTheme="minorEastAsia" w:eastAsiaTheme="minorEastAsia"/>
          <w:b/>
          <w:bCs/>
          <w:szCs w:val="24"/>
        </w:rPr>
        <w:t>WORD</w:t>
      </w:r>
      <w:r>
        <w:rPr>
          <w:rFonts w:hint="eastAsia" w:asciiTheme="minorEastAsia" w:hAnsiTheme="minorEastAsia" w:eastAsiaTheme="minorEastAsia"/>
          <w:b/>
          <w:bCs/>
          <w:szCs w:val="24"/>
        </w:rPr>
        <w:t>格式和加盖公章PDF格式）。</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6"/>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3" w:type="first"/>
          <w:footerReference r:id="rId15" w:type="first"/>
          <w:headerReference r:id="rId12" w:type="default"/>
          <w:footerReference r:id="rId14" w:type="default"/>
          <w:pgSz w:w="11906" w:h="16838"/>
          <w:pgMar w:top="958" w:right="1803" w:bottom="1440" w:left="1803" w:header="851" w:footer="992" w:gutter="0"/>
          <w:cols w:space="0" w:num="1"/>
          <w:docGrid w:type="lines" w:linePitch="328" w:charSpace="0"/>
        </w:sectPr>
      </w:pPr>
    </w:p>
    <w:p>
      <w:pPr>
        <w:pStyle w:val="41"/>
        <w:ind w:firstLine="480"/>
      </w:pPr>
    </w:p>
    <w:p>
      <w:pPr>
        <w:pStyle w:val="41"/>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1"/>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1"/>
        <w:numPr>
          <w:ilvl w:val="0"/>
          <w:numId w:val="5"/>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1"/>
        <w:numPr>
          <w:ilvl w:val="0"/>
          <w:numId w:val="5"/>
        </w:num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资格声明书</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1"/>
        <w:ind w:firstLine="0" w:firstLineChars="0"/>
        <w:rPr>
          <w:rFonts w:asciiTheme="minorEastAsia" w:hAnsiTheme="minorEastAsia" w:eastAsiaTheme="minorEastAsia"/>
          <w:szCs w:val="24"/>
        </w:rPr>
      </w:pPr>
    </w:p>
    <w:p>
      <w:pPr>
        <w:pStyle w:val="43"/>
        <w:numPr>
          <w:ilvl w:val="0"/>
          <w:numId w:val="6"/>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4" w:name="_Toc233647592"/>
      <w:bookmarkStart w:id="5" w:name="_Toc447805154"/>
      <w:r>
        <w:rPr>
          <w:rFonts w:ascii="Times New Roman" w:hAnsi="Times New Roman" w:cs="Times New Roman"/>
          <w:b/>
        </w:rPr>
        <w:t>法定代表人身份证明书</w:t>
      </w:r>
      <w:bookmarkEnd w:id="4"/>
      <w:bookmarkEnd w:id="5"/>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NTdjmP8BAAA7BAAADgAAAGRycy9lMm9Eb2MueG1srVNN&#10;b9swDL0P2H8QdF+dD6RrjDg9LMsuw1as2w9gJNoWoC9ISuz8+1FKlqbdDjnMB5mUqEe+R2r1OBrN&#10;Dhiicrbh07sJZ2iFk8p2Df/1c/vhgbOYwErQzmLDjxj54/r9u9Xga5y53mmJgRGIjfXgG96n5Ouq&#10;iqJHA/HOebR02LpgIJEbukoGGAjd6Go2mdxXgwvSBycwRtrdnA75GTHcAujaVgncOLE3aNMJNaCG&#10;RJRir3zk61Jt26JI39s2YmK64cQ0lZWSkL3La7VeQd0F8L0S5xLglhLecDKgLCW9QG0gAdsH9ReU&#10;USK46Np0J5ypTkSKIsRiOnmjzXMPHgsXkjr6i+jx/8GKb4enwJRs+JwzC4Ya/oNEA9tpZLMsz+Bj&#10;TVHP/imcvUhm5jq2weQ/sWBjkfR4kRTHxARtzhfL6eKe1BZ0Nl1+nC8eiujVy3UfYvqCzrBsNDxQ&#10;+iIlHL7GRCkp9E9IzhadVnKrtC5O6HafdGAHoP5uy5drpiuvwrRlQ8OXi9mCCgEa2paGhUzjiXi0&#10;Xcn36ka8Bp6U71/AubANxP5UQEHIYVAblTDrBXWPID9bydLRk7iW3hTPxRiUnGmkJ5itEplA6Vsi&#10;iZ22GRrLgJ9Vyn06dSZbadyNBJrNnZNH6vHeB9X1JPC0EMknNFNFq/P856G99sm+fv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1N2OY/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hint="eastAsia" w:ascii="Times New Roman" w:hAnsi="Times New Roman" w:cs="Times New Roman"/>
          <w:szCs w:val="24"/>
          <w:u w:val="single"/>
        </w:rPr>
        <w:t>中国科技发展基金会</w:t>
      </w:r>
      <w:r>
        <w:rPr>
          <w:rFonts w:ascii="Times New Roman" w:hAnsi="Times New Roman" w:cs="Times New Roman"/>
          <w:u w:val="single"/>
        </w:rPr>
        <w:t>）</w:t>
      </w:r>
      <w:r>
        <w:rPr>
          <w:rFonts w:ascii="Times New Roman" w:hAnsi="Times New Roman" w:cs="Times New Roman"/>
        </w:rPr>
        <w:t>：</w:t>
      </w:r>
    </w:p>
    <w:p>
      <w:pPr>
        <w:pStyle w:val="44"/>
        <w:ind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hint="eastAsia" w:ascii="Times New Roman" w:hAnsi="Times New Roman" w:cs="Times New Roman"/>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4"/>
        <w:ind w:firstLine="480"/>
        <w:rPr>
          <w:rFonts w:ascii="Times New Roman" w:hAnsi="Times New Roman" w:cs="Times New Roman"/>
        </w:rPr>
      </w:pPr>
      <w:r>
        <w:rPr>
          <w:rFonts w:ascii="Times New Roman" w:hAnsi="Times New Roman" w:cs="Times New Roman"/>
        </w:rPr>
        <w:t>被授权人姓名：</w:t>
      </w:r>
    </w:p>
    <w:p>
      <w:pPr>
        <w:pStyle w:val="44"/>
        <w:ind w:firstLine="480"/>
        <w:rPr>
          <w:rFonts w:ascii="Times New Roman" w:hAnsi="Times New Roman" w:cs="Times New Roman"/>
        </w:rPr>
      </w:pPr>
      <w:r>
        <w:rPr>
          <w:rFonts w:ascii="Times New Roman" w:hAnsi="Times New Roman" w:cs="Times New Roman"/>
        </w:rPr>
        <w:t>职务：</w:t>
      </w:r>
    </w:p>
    <w:p>
      <w:pPr>
        <w:pStyle w:val="44"/>
        <w:ind w:firstLine="480"/>
        <w:rPr>
          <w:rFonts w:ascii="Times New Roman" w:hAnsi="Times New Roman" w:cs="Times New Roman"/>
        </w:rPr>
      </w:pPr>
      <w:r>
        <w:rPr>
          <w:rFonts w:ascii="Times New Roman" w:hAnsi="Times New Roman" w:cs="Times New Roman"/>
        </w:rPr>
        <w:t>详细通信地址：</w:t>
      </w:r>
    </w:p>
    <w:p>
      <w:pPr>
        <w:pStyle w:val="44"/>
        <w:ind w:firstLine="480"/>
        <w:rPr>
          <w:rFonts w:ascii="Times New Roman" w:hAnsi="Times New Roman" w:cs="Times New Roman"/>
        </w:rPr>
      </w:pPr>
      <w:r>
        <w:rPr>
          <w:rFonts w:ascii="Times New Roman" w:hAnsi="Times New Roman" w:cs="Times New Roman"/>
        </w:rPr>
        <w:t>邮政编码：</w:t>
      </w:r>
    </w:p>
    <w:p>
      <w:pPr>
        <w:pStyle w:val="44"/>
        <w:ind w:firstLine="480"/>
        <w:rPr>
          <w:rFonts w:ascii="Times New Roman" w:hAnsi="Times New Roman" w:cs="Times New Roman"/>
        </w:rPr>
      </w:pPr>
      <w:r>
        <w:rPr>
          <w:rFonts w:ascii="Times New Roman" w:hAnsi="Times New Roman" w:cs="Times New Roman"/>
        </w:rPr>
        <w:t>传真：</w:t>
      </w:r>
    </w:p>
    <w:p>
      <w:pPr>
        <w:pStyle w:val="44"/>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3"/>
        <w:numPr>
          <w:ilvl w:val="0"/>
          <w:numId w:val="6"/>
        </w:numPr>
        <w:ind w:firstLineChars="0"/>
        <w:rPr>
          <w:rFonts w:ascii="Times New Roman" w:hAnsi="Times New Roman"/>
        </w:rPr>
      </w:pPr>
      <w:bookmarkStart w:id="6" w:name="_Toc496859272"/>
      <w:r>
        <w:rPr>
          <w:rFonts w:ascii="Times New Roman" w:hAnsi="Times New Roman"/>
        </w:rPr>
        <w:t>法人或者其他组织的营业执照等证明文件</w:t>
      </w:r>
      <w:bookmarkEnd w:id="6"/>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r>
        <w:rPr>
          <w:rFonts w:ascii="Times New Roman" w:hAnsi="Times New Roman" w:cs="Times New Roman"/>
        </w:rPr>
        <w:br w:type="page"/>
      </w:r>
    </w:p>
    <w:p>
      <w:pPr>
        <w:pStyle w:val="43"/>
        <w:numPr>
          <w:ilvl w:val="0"/>
          <w:numId w:val="6"/>
        </w:numPr>
        <w:ind w:firstLineChars="0"/>
        <w:rPr>
          <w:rFonts w:ascii="Times New Roman" w:hAnsi="Times New Roman"/>
        </w:rPr>
      </w:pPr>
      <w:r>
        <w:rPr>
          <w:rFonts w:hint="eastAsia" w:ascii="Times New Roman" w:hAnsi="Times New Roman"/>
        </w:rPr>
        <w:t>资格声明书</w:t>
      </w:r>
    </w:p>
    <w:p>
      <w:pPr>
        <w:tabs>
          <w:tab w:val="left" w:pos="5580"/>
        </w:tabs>
        <w:ind w:firstLine="480"/>
      </w:pPr>
      <w:r>
        <w:t>致：</w:t>
      </w:r>
      <w:r>
        <w:rPr>
          <w:rFonts w:hint="eastAsia"/>
        </w:rPr>
        <w:t>中国科技发展基金会</w:t>
      </w:r>
    </w:p>
    <w:p>
      <w:pPr>
        <w:ind w:firstLine="480"/>
      </w:pPr>
      <w:r>
        <w:t>在参与本次项目</w:t>
      </w:r>
      <w:r>
        <w:rPr>
          <w:rFonts w:hint="eastAsia"/>
        </w:rPr>
        <w:t>申报</w:t>
      </w:r>
      <w:r>
        <w:t>中，我单位承诺：</w:t>
      </w:r>
    </w:p>
    <w:p>
      <w:pPr>
        <w:numPr>
          <w:ilvl w:val="0"/>
          <w:numId w:val="7"/>
        </w:numPr>
        <w:ind w:left="12" w:hanging="12" w:hangingChars="5"/>
      </w:pPr>
      <w:r>
        <w:t>具有良好的商业信誉和健全的财务会计制度；</w:t>
      </w:r>
    </w:p>
    <w:p>
      <w:pPr>
        <w:numPr>
          <w:ilvl w:val="0"/>
          <w:numId w:val="7"/>
        </w:numPr>
        <w:ind w:left="653" w:hanging="652" w:hangingChars="272"/>
      </w:pPr>
      <w:r>
        <w:t>具有履行合同所必需的设备和专业技术能力；</w:t>
      </w:r>
      <w:bookmarkStart w:id="7" w:name="_GoBack"/>
      <w:bookmarkEnd w:id="7"/>
    </w:p>
    <w:p>
      <w:pPr>
        <w:numPr>
          <w:ilvl w:val="0"/>
          <w:numId w:val="7"/>
        </w:numPr>
        <w:ind w:left="653" w:hanging="652" w:hangingChars="272"/>
      </w:pPr>
      <w:r>
        <w:t>有依法缴纳税收和社会保障资金的良好记录；</w:t>
      </w:r>
    </w:p>
    <w:p>
      <w:pPr>
        <w:numPr>
          <w:ilvl w:val="0"/>
          <w:numId w:val="7"/>
        </w:numPr>
        <w:ind w:left="653" w:hanging="652" w:hangingChars="272"/>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ind w:left="653" w:hanging="652" w:hangingChars="272"/>
      </w:pPr>
      <w:r>
        <w:t>我单位不存在为采购项目提供整体设计、规范编制或者项目管理、监理、检测等服务后，再参加该采购项目的其他采购活动的情形（单一来源采购项目除外）；</w:t>
      </w:r>
    </w:p>
    <w:p>
      <w:pPr>
        <w:numPr>
          <w:ilvl w:val="0"/>
          <w:numId w:val="7"/>
        </w:numPr>
        <w:ind w:left="653" w:hanging="652" w:hangingChars="272"/>
      </w:pPr>
      <w:r>
        <w:t>与我单位存在“单位负责人为同一人或者存在直接控股、管理关系”的其他法人单位信息如下（</w:t>
      </w:r>
      <w:r>
        <w:rPr>
          <w:b/>
          <w:bCs/>
        </w:rPr>
        <w:t>如有，不论其是否参加</w:t>
      </w:r>
      <w:r>
        <w:rPr>
          <w:rFonts w:hint="eastAsia"/>
          <w:b/>
          <w:bCs/>
        </w:rPr>
        <w:t>本项目</w:t>
      </w:r>
      <w:r>
        <w:rPr>
          <w:b/>
          <w:bCs/>
        </w:rPr>
        <w:t>项下的采购活动均须填写</w:t>
      </w:r>
      <w:r>
        <w:t>）：</w:t>
      </w:r>
    </w:p>
    <w:tbl>
      <w:tblPr>
        <w:tblStyle w:val="1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序号</w:t>
            </w:r>
          </w:p>
        </w:tc>
        <w:tc>
          <w:tcPr>
            <w:tcW w:w="4574" w:type="dxa"/>
            <w:vAlign w:val="center"/>
          </w:tcPr>
          <w:p>
            <w:pPr>
              <w:ind w:firstLine="480"/>
              <w:jc w:val="center"/>
            </w:pPr>
            <w:r>
              <w:t>单位名称</w:t>
            </w:r>
          </w:p>
        </w:tc>
        <w:tc>
          <w:tcPr>
            <w:tcW w:w="2976" w:type="dxa"/>
            <w:vAlign w:val="center"/>
          </w:tcPr>
          <w:p>
            <w:pPr>
              <w:ind w:firstLine="480"/>
              <w:jc w:val="center"/>
            </w:pPr>
            <w: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1</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2</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w:t>
            </w:r>
          </w:p>
        </w:tc>
        <w:tc>
          <w:tcPr>
            <w:tcW w:w="4574" w:type="dxa"/>
            <w:vAlign w:val="center"/>
          </w:tcPr>
          <w:p>
            <w:pPr>
              <w:ind w:firstLine="480"/>
              <w:jc w:val="center"/>
            </w:pPr>
          </w:p>
        </w:tc>
        <w:tc>
          <w:tcPr>
            <w:tcW w:w="2976" w:type="dxa"/>
            <w:vAlign w:val="center"/>
          </w:tcPr>
          <w:p>
            <w:pPr>
              <w:ind w:firstLine="480"/>
              <w:jc w:val="center"/>
            </w:pPr>
          </w:p>
        </w:tc>
      </w:tr>
    </w:tbl>
    <w:p>
      <w:pPr>
        <w:ind w:firstLine="480"/>
      </w:pPr>
    </w:p>
    <w:p>
      <w:pPr>
        <w:ind w:firstLine="0" w:firstLineChars="0"/>
      </w:pPr>
      <w:r>
        <w:rPr>
          <w:rFonts w:hint="eastAsia"/>
        </w:rPr>
        <w:t>我单位已仔细阅读上述条款，</w:t>
      </w:r>
      <w:r>
        <w:t>上述声明真实有效，否则我方负全部责任。</w:t>
      </w:r>
    </w:p>
    <w:p>
      <w:pPr>
        <w:ind w:firstLine="480"/>
      </w:pPr>
    </w:p>
    <w:p>
      <w:pPr>
        <w:autoSpaceDE w:val="0"/>
        <w:autoSpaceDN w:val="0"/>
        <w:adjustRightInd w:val="0"/>
        <w:snapToGrid w:val="0"/>
        <w:spacing w:before="25" w:after="25"/>
        <w:ind w:firstLine="0" w:firstLineChars="0"/>
        <w:rPr>
          <w:lang w:val="zh-CN"/>
        </w:rPr>
      </w:pPr>
      <w:r>
        <w:rPr>
          <w:rFonts w:hint="eastAsia"/>
        </w:rPr>
        <w:t>供应商</w:t>
      </w:r>
      <w:r>
        <w:t>名称（加盖公章）</w:t>
      </w:r>
      <w:r>
        <w:rPr>
          <w:lang w:val="zh-CN"/>
        </w:rPr>
        <w:t>：    ____________</w:t>
      </w:r>
    </w:p>
    <w:p>
      <w:pPr>
        <w:ind w:firstLine="0" w:firstLineChars="0"/>
      </w:pPr>
      <w:r>
        <w:rPr>
          <w:szCs w:val="20"/>
        </w:rPr>
        <w:t xml:space="preserve">日期：_____年______月______日 </w:t>
      </w:r>
    </w:p>
    <w:p>
      <w:pPr>
        <w:ind w:firstLine="480"/>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p>
    <w:p>
      <w:pPr>
        <w:pStyle w:val="36"/>
        <w:numPr>
          <w:ilvl w:val="0"/>
          <w:numId w:val="0"/>
        </w:numPr>
        <w:ind w:left="-1050"/>
        <w:jc w:val="center"/>
        <w:rPr>
          <w:sz w:val="40"/>
        </w:rPr>
      </w:pPr>
      <w:r>
        <w:rPr>
          <w:rFonts w:hint="eastAsia"/>
          <w:sz w:val="40"/>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8"/>
        <w:numPr>
          <w:ilvl w:val="0"/>
          <w:numId w:val="8"/>
        </w:numPr>
        <w:ind w:firstLineChars="0"/>
        <w:rPr>
          <w:rFonts w:ascii="Times New Roman" w:hAnsi="Times New Roman" w:cs="Times New Roman"/>
        </w:rPr>
      </w:pPr>
      <w:r>
        <w:rPr>
          <w:rFonts w:ascii="Times New Roman" w:hAnsi="Times New Roman" w:cs="Times New Roman"/>
        </w:rPr>
        <w:t>申报单位基本情况</w:t>
      </w:r>
    </w:p>
    <w:p>
      <w:pPr>
        <w:pStyle w:val="48"/>
        <w:numPr>
          <w:ilvl w:val="0"/>
          <w:numId w:val="8"/>
        </w:numPr>
        <w:ind w:firstLineChars="0"/>
        <w:rPr>
          <w:rFonts w:ascii="Times New Roman" w:hAnsi="Times New Roman" w:cs="Times New Roman"/>
        </w:rPr>
      </w:pPr>
      <w:r>
        <w:rPr>
          <w:rFonts w:ascii="Times New Roman" w:hAnsi="Times New Roman" w:cs="Times New Roman"/>
        </w:rPr>
        <w:t>服务报价情况</w:t>
      </w:r>
    </w:p>
    <w:p>
      <w:pPr>
        <w:pStyle w:val="48"/>
        <w:numPr>
          <w:ilvl w:val="0"/>
          <w:numId w:val="8"/>
        </w:numPr>
        <w:ind w:firstLineChars="0"/>
        <w:rPr>
          <w:rFonts w:ascii="Times New Roman" w:hAnsi="Times New Roman" w:cs="Times New Roman"/>
        </w:rPr>
      </w:pPr>
      <w:r>
        <w:rPr>
          <w:rFonts w:ascii="Times New Roman" w:hAnsi="Times New Roman" w:cs="Times New Roman"/>
        </w:rPr>
        <w:t>服务能力及经验业绩</w:t>
      </w:r>
    </w:p>
    <w:p>
      <w:pPr>
        <w:pStyle w:val="48"/>
        <w:numPr>
          <w:ilvl w:val="0"/>
          <w:numId w:val="8"/>
        </w:numPr>
        <w:ind w:firstLineChars="0"/>
        <w:rPr>
          <w:rFonts w:ascii="Times New Roman" w:hAnsi="Times New Roman" w:cs="Times New Roman"/>
        </w:rPr>
      </w:pPr>
      <w:r>
        <w:rPr>
          <w:rFonts w:ascii="Times New Roman" w:hAnsi="Times New Roman" w:cs="Times New Roman"/>
        </w:rPr>
        <w:t>技术响应方案</w:t>
      </w:r>
    </w:p>
    <w:p>
      <w:pPr>
        <w:pStyle w:val="48"/>
        <w:numPr>
          <w:ilvl w:val="0"/>
          <w:numId w:val="8"/>
        </w:numPr>
        <w:ind w:firstLineChars="0"/>
        <w:rPr>
          <w:rFonts w:ascii="Times New Roman" w:hAnsi="Times New Roman" w:cs="Times New Roman"/>
        </w:rPr>
      </w:pPr>
      <w:r>
        <w:rPr>
          <w:rFonts w:ascii="Times New Roman" w:hAnsi="Times New Roman" w:cs="Times New Roman"/>
        </w:rPr>
        <w:t>措施方案</w:t>
      </w:r>
    </w:p>
    <w:p>
      <w:pPr>
        <w:pStyle w:val="48"/>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pPr>
        <w:pStyle w:val="48"/>
        <w:numPr>
          <w:ilvl w:val="0"/>
          <w:numId w:val="8"/>
        </w:numPr>
        <w:ind w:firstLineChars="0"/>
        <w:rPr>
          <w:rFonts w:ascii="Times New Roman" w:hAnsi="Times New Roman" w:cs="Times New Roman"/>
        </w:rPr>
      </w:pPr>
      <w:r>
        <w:rPr>
          <w:rFonts w:ascii="Times New Roman" w:hAnsi="Times New Roman" w:cs="Times New Roman"/>
        </w:rPr>
        <w:t>预期成果</w:t>
      </w:r>
    </w:p>
    <w:p>
      <w:pPr>
        <w:pStyle w:val="48"/>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3"/>
        <w:numPr>
          <w:ilvl w:val="0"/>
          <w:numId w:val="9"/>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1"/>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3"/>
        <w:numPr>
          <w:ilvl w:val="0"/>
          <w:numId w:val="9"/>
        </w:numPr>
        <w:ind w:firstLineChars="0"/>
        <w:rPr>
          <w:rFonts w:ascii="Times New Roman" w:hAnsi="Times New Roman"/>
          <w:b w:val="0"/>
          <w:bCs w:val="0"/>
        </w:rPr>
      </w:pPr>
      <w:r>
        <w:rPr>
          <w:rFonts w:ascii="Times New Roman" w:hAnsi="Times New Roman"/>
        </w:rPr>
        <w:t>报价情况</w:t>
      </w:r>
    </w:p>
    <w:p>
      <w:pPr>
        <w:pStyle w:val="41"/>
        <w:ind w:firstLine="0" w:firstLineChars="0"/>
        <w:rPr>
          <w:rFonts w:ascii="Times New Roman" w:hAnsi="Times New Roman" w:cs="Times New Roman"/>
        </w:rPr>
      </w:pP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1"/>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1"/>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1"/>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1"/>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rPr>
            </w:pPr>
            <w:r>
              <w:rPr>
                <w:rFonts w:ascii="Times New Roman" w:hAnsi="Times New Roman" w:cs="Times New Roman"/>
              </w:rPr>
              <w:t>......</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1"/>
              <w:ind w:firstLine="0" w:firstLineChars="0"/>
              <w:rPr>
                <w:rFonts w:ascii="Times New Roman" w:hAnsi="Times New Roman" w:cs="Times New Roman"/>
              </w:rPr>
            </w:pPr>
          </w:p>
        </w:tc>
      </w:tr>
    </w:tbl>
    <w:p>
      <w:pPr>
        <w:pStyle w:val="41"/>
        <w:ind w:firstLine="0" w:firstLineChars="0"/>
        <w:rPr>
          <w:rFonts w:ascii="Times New Roman" w:hAnsi="Times New Roman" w:cs="Times New Roman"/>
        </w:rPr>
      </w:pP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br w:type="page"/>
      </w:r>
    </w:p>
    <w:p>
      <w:pPr>
        <w:pStyle w:val="43"/>
        <w:numPr>
          <w:ilvl w:val="0"/>
          <w:numId w:val="9"/>
        </w:numPr>
        <w:ind w:firstLineChars="0"/>
        <w:rPr>
          <w:rFonts w:ascii="Times New Roman" w:hAnsi="Times New Roman"/>
          <w:b w:val="0"/>
          <w:bCs w:val="0"/>
        </w:rPr>
      </w:pPr>
      <w:r>
        <w:rPr>
          <w:rFonts w:ascii="Times New Roman" w:hAnsi="Times New Roman"/>
        </w:rPr>
        <w:t>服务能力及经验业绩</w:t>
      </w:r>
    </w:p>
    <w:p>
      <w:pPr>
        <w:pStyle w:val="41"/>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项目业绩清单</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1"/>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1"/>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1"/>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1"/>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bl>
    <w:p>
      <w:pPr>
        <w:pStyle w:val="41"/>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技术响应方案</w:t>
      </w:r>
    </w:p>
    <w:p>
      <w:pPr>
        <w:pStyle w:val="41"/>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1"/>
        <w:ind w:firstLine="0" w:firstLineChars="0"/>
        <w:jc w:val="center"/>
        <w:rPr>
          <w:rFonts w:ascii="Times New Roman" w:hAnsi="Times New Roman" w:cs="Times New Roman"/>
        </w:rPr>
      </w:pPr>
      <w:r>
        <w:rPr>
          <w:rFonts w:hint="eastAsia" w:ascii="Times New Roman" w:hAnsi="Times New Roman" w:cs="Times New Roman"/>
        </w:rPr>
        <w:t>须具体、完整地说明各项工作内容。若有多项任务，须分条分类说明，具体叙述各项任务内容。</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措施方案</w:t>
      </w:r>
    </w:p>
    <w:p>
      <w:pPr>
        <w:pStyle w:val="41"/>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3"/>
        <w:numPr>
          <w:ilvl w:val="0"/>
          <w:numId w:val="9"/>
        </w:numPr>
        <w:ind w:firstLineChars="0"/>
        <w:rPr>
          <w:rFonts w:ascii="Times New Roman" w:hAnsi="Times New Roman"/>
          <w:b w:val="0"/>
          <w:bCs w:val="0"/>
        </w:rPr>
      </w:pPr>
      <w:r>
        <w:rPr>
          <w:rFonts w:ascii="Times New Roman" w:hAnsi="Times New Roman"/>
        </w:rPr>
        <w:t>基础保障及项目团队情况</w:t>
      </w: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hint="eastAsia" w:ascii="Times New Roman" w:hAnsi="Times New Roman" w:cs="Times New Roman"/>
        </w:rPr>
        <w:t>提供有利于评审的证明材料，如人员学历或职称等证书复印件</w:t>
      </w:r>
      <w:r>
        <w:rPr>
          <w:rFonts w:ascii="Times New Roman" w:hAnsi="Times New Roman" w:cs="Times New Roman"/>
        </w:rPr>
        <w:t>）</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1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bl>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1"/>
        <w:ind w:firstLine="0" w:firstLineChars="0"/>
        <w:jc w:val="center"/>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预期成果</w:t>
      </w:r>
    </w:p>
    <w:p>
      <w:pPr>
        <w:pStyle w:val="41"/>
        <w:ind w:left="480" w:leftChars="200" w:firstLine="0" w:firstLineChars="0"/>
        <w:rPr>
          <w:rFonts w:ascii="Times New Roman" w:hAnsi="Times New Roman" w:cs="Times New Roman"/>
        </w:rPr>
      </w:pPr>
    </w:p>
    <w:p>
      <w:pPr>
        <w:pStyle w:val="41"/>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9"/>
        </w:numPr>
        <w:ind w:firstLineChars="0"/>
        <w:rPr>
          <w:rFonts w:ascii="Times New Roman" w:hAnsi="Times New Roman"/>
          <w:b w:val="0"/>
          <w:bCs w:val="0"/>
        </w:rPr>
      </w:pPr>
      <w:r>
        <w:rPr>
          <w:rFonts w:ascii="Times New Roman" w:hAnsi="Times New Roman"/>
        </w:rPr>
        <w:t>其他参与评审的资料</w:t>
      </w:r>
    </w:p>
    <w:p>
      <w:pPr>
        <w:pStyle w:val="41"/>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n1E8s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JyNVB3+9j9hBbiyhjlBTMRxXpjatVtqHp37Oevyd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7J9RPLAQAAlgMAAA4AAAAAAAAAAQAgAAAAHgEAAGRycy9lMm9E&#10;b2MueG1sUEsFBgAAAAAGAAYAWQEAAFs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64"/>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A0ODUxM2U4YWNkMWY1NTdjMmQ1YmFmNjYwYjcifQ=="/>
  </w:docVars>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578"/>
    <w:rsid w:val="000F4F8C"/>
    <w:rsid w:val="00104B31"/>
    <w:rsid w:val="0010549F"/>
    <w:rsid w:val="0011294D"/>
    <w:rsid w:val="00126CFC"/>
    <w:rsid w:val="001364C5"/>
    <w:rsid w:val="00140B7F"/>
    <w:rsid w:val="00144564"/>
    <w:rsid w:val="001455E9"/>
    <w:rsid w:val="001622E3"/>
    <w:rsid w:val="001659BF"/>
    <w:rsid w:val="0016671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46BFB"/>
    <w:rsid w:val="00260429"/>
    <w:rsid w:val="002604EA"/>
    <w:rsid w:val="00260932"/>
    <w:rsid w:val="00265F85"/>
    <w:rsid w:val="002704D3"/>
    <w:rsid w:val="00276060"/>
    <w:rsid w:val="00276E2D"/>
    <w:rsid w:val="0028207F"/>
    <w:rsid w:val="00283719"/>
    <w:rsid w:val="0029035E"/>
    <w:rsid w:val="002B5EA9"/>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50B08"/>
    <w:rsid w:val="00370441"/>
    <w:rsid w:val="00370787"/>
    <w:rsid w:val="00372983"/>
    <w:rsid w:val="00395585"/>
    <w:rsid w:val="003A018A"/>
    <w:rsid w:val="003A1C98"/>
    <w:rsid w:val="003A2A7F"/>
    <w:rsid w:val="003A5443"/>
    <w:rsid w:val="003C0286"/>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01C"/>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2CC2"/>
    <w:rsid w:val="00535805"/>
    <w:rsid w:val="00535E89"/>
    <w:rsid w:val="005424A7"/>
    <w:rsid w:val="005605AD"/>
    <w:rsid w:val="00562B1E"/>
    <w:rsid w:val="00566F1A"/>
    <w:rsid w:val="00570CC6"/>
    <w:rsid w:val="005761C6"/>
    <w:rsid w:val="0058127C"/>
    <w:rsid w:val="00582751"/>
    <w:rsid w:val="00586C32"/>
    <w:rsid w:val="00586CFE"/>
    <w:rsid w:val="00595319"/>
    <w:rsid w:val="005973C0"/>
    <w:rsid w:val="005A1509"/>
    <w:rsid w:val="005A4E9D"/>
    <w:rsid w:val="005A6A0E"/>
    <w:rsid w:val="005B13EC"/>
    <w:rsid w:val="005B494F"/>
    <w:rsid w:val="005B6590"/>
    <w:rsid w:val="005B6D2C"/>
    <w:rsid w:val="005C763A"/>
    <w:rsid w:val="005D13FD"/>
    <w:rsid w:val="005D17F8"/>
    <w:rsid w:val="005D66B5"/>
    <w:rsid w:val="005E02CC"/>
    <w:rsid w:val="005F0C6D"/>
    <w:rsid w:val="005F4AC6"/>
    <w:rsid w:val="005F7BDE"/>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C0B35"/>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27E85"/>
    <w:rsid w:val="00830D8C"/>
    <w:rsid w:val="008403CA"/>
    <w:rsid w:val="008433D8"/>
    <w:rsid w:val="008504E2"/>
    <w:rsid w:val="008531F6"/>
    <w:rsid w:val="00870DBF"/>
    <w:rsid w:val="00872BF9"/>
    <w:rsid w:val="00873160"/>
    <w:rsid w:val="008746C0"/>
    <w:rsid w:val="0087691B"/>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1D75"/>
    <w:rsid w:val="009F4981"/>
    <w:rsid w:val="00A12296"/>
    <w:rsid w:val="00A3775B"/>
    <w:rsid w:val="00A41926"/>
    <w:rsid w:val="00A610AA"/>
    <w:rsid w:val="00A61E2F"/>
    <w:rsid w:val="00AA1462"/>
    <w:rsid w:val="00AA6816"/>
    <w:rsid w:val="00AA69A3"/>
    <w:rsid w:val="00AB3371"/>
    <w:rsid w:val="00AC22F3"/>
    <w:rsid w:val="00AC4F18"/>
    <w:rsid w:val="00AC57C5"/>
    <w:rsid w:val="00AD1A33"/>
    <w:rsid w:val="00AE48AD"/>
    <w:rsid w:val="00AF44C1"/>
    <w:rsid w:val="00B0403B"/>
    <w:rsid w:val="00B10BC6"/>
    <w:rsid w:val="00B1238C"/>
    <w:rsid w:val="00B1678D"/>
    <w:rsid w:val="00B21A9D"/>
    <w:rsid w:val="00B22EB9"/>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25A27"/>
    <w:rsid w:val="00C30AF7"/>
    <w:rsid w:val="00C31893"/>
    <w:rsid w:val="00C37124"/>
    <w:rsid w:val="00C53C86"/>
    <w:rsid w:val="00C574E1"/>
    <w:rsid w:val="00C574FE"/>
    <w:rsid w:val="00C62D84"/>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3114"/>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079A4"/>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1775"/>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96D45"/>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551921"/>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24B94"/>
    <w:rsid w:val="14556848"/>
    <w:rsid w:val="1462314A"/>
    <w:rsid w:val="14772295"/>
    <w:rsid w:val="14A66A25"/>
    <w:rsid w:val="157E20FF"/>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85060B4"/>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B61DCE"/>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text"/>
    <w:basedOn w:val="1"/>
    <w:link w:val="46"/>
    <w:unhideWhenUsed/>
    <w:qFormat/>
    <w:uiPriority w:val="99"/>
    <w:pPr>
      <w:jc w:val="left"/>
    </w:pPr>
  </w:style>
  <w:style w:type="paragraph" w:styleId="8">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5"/>
    <w:unhideWhenUsed/>
    <w:qFormat/>
    <w:uiPriority w:val="99"/>
    <w:pPr>
      <w:spacing w:line="240" w:lineRule="auto"/>
    </w:pPr>
    <w:rPr>
      <w:sz w:val="18"/>
      <w:szCs w:val="18"/>
    </w:rPr>
  </w:style>
  <w:style w:type="paragraph" w:styleId="11">
    <w:name w:val="footer"/>
    <w:basedOn w:val="1"/>
    <w:next w:val="2"/>
    <w:link w:val="34"/>
    <w:unhideWhenUsed/>
    <w:qFormat/>
    <w:uiPriority w:val="99"/>
    <w:pPr>
      <w:tabs>
        <w:tab w:val="center" w:pos="4153"/>
        <w:tab w:val="right" w:pos="8306"/>
      </w:tabs>
      <w:snapToGrid w:val="0"/>
      <w:jc w:val="left"/>
    </w:pPr>
    <w:rPr>
      <w:sz w:val="18"/>
      <w:szCs w:val="18"/>
    </w:rPr>
  </w:style>
  <w:style w:type="paragraph" w:styleId="12">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7">
    <w:name w:val="annotation subject"/>
    <w:basedOn w:val="7"/>
    <w:next w:val="7"/>
    <w:link w:val="47"/>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unhideWhenUsed/>
    <w:qFormat/>
    <w:uiPriority w:val="99"/>
    <w:rPr>
      <w:color w:val="4C4C4C"/>
      <w:u w:val="none"/>
    </w:rPr>
  </w:style>
  <w:style w:type="character" w:styleId="23">
    <w:name w:val="Emphasis"/>
    <w:basedOn w:val="20"/>
    <w:qFormat/>
    <w:uiPriority w:val="20"/>
  </w:style>
  <w:style w:type="character" w:styleId="24">
    <w:name w:val="HTML Definition"/>
    <w:basedOn w:val="20"/>
    <w:unhideWhenUsed/>
    <w:qFormat/>
    <w:uiPriority w:val="99"/>
  </w:style>
  <w:style w:type="character" w:styleId="25">
    <w:name w:val="HTML Acronym"/>
    <w:basedOn w:val="20"/>
    <w:unhideWhenUsed/>
    <w:qFormat/>
    <w:uiPriority w:val="99"/>
  </w:style>
  <w:style w:type="character" w:styleId="26">
    <w:name w:val="HTML Variable"/>
    <w:basedOn w:val="20"/>
    <w:unhideWhenUsed/>
    <w:qFormat/>
    <w:uiPriority w:val="99"/>
  </w:style>
  <w:style w:type="character" w:styleId="27">
    <w:name w:val="Hyperlink"/>
    <w:basedOn w:val="20"/>
    <w:unhideWhenUsed/>
    <w:qFormat/>
    <w:uiPriority w:val="99"/>
    <w:rPr>
      <w:color w:val="0563C1" w:themeColor="hyperlink"/>
      <w:u w:val="single"/>
      <w14:textFill>
        <w14:solidFill>
          <w14:schemeClr w14:val="hlink"/>
        </w14:solidFill>
      </w14:textFill>
    </w:rPr>
  </w:style>
  <w:style w:type="character" w:styleId="28">
    <w:name w:val="HTML Code"/>
    <w:basedOn w:val="20"/>
    <w:unhideWhenUsed/>
    <w:qFormat/>
    <w:uiPriority w:val="99"/>
    <w:rPr>
      <w:rFonts w:hint="default" w:ascii="Menlo" w:hAnsi="Menlo" w:eastAsia="Menlo" w:cs="Menlo"/>
      <w:color w:val="C7254E"/>
      <w:sz w:val="21"/>
      <w:szCs w:val="21"/>
      <w:shd w:val="clear" w:color="auto" w:fill="F9F2F4"/>
    </w:rPr>
  </w:style>
  <w:style w:type="character" w:styleId="29">
    <w:name w:val="annotation reference"/>
    <w:basedOn w:val="20"/>
    <w:unhideWhenUsed/>
    <w:qFormat/>
    <w:uiPriority w:val="99"/>
    <w:rPr>
      <w:sz w:val="21"/>
      <w:szCs w:val="21"/>
    </w:rPr>
  </w:style>
  <w:style w:type="character" w:styleId="30">
    <w:name w:val="HTML Cite"/>
    <w:basedOn w:val="20"/>
    <w:unhideWhenUsed/>
    <w:qFormat/>
    <w:uiPriority w:val="99"/>
  </w:style>
  <w:style w:type="character" w:styleId="31">
    <w:name w:val="HTML Keyboard"/>
    <w:basedOn w:val="20"/>
    <w:unhideWhenUsed/>
    <w:qFormat/>
    <w:uiPriority w:val="99"/>
    <w:rPr>
      <w:rFonts w:ascii="Menlo" w:hAnsi="Menlo" w:eastAsia="Menlo" w:cs="Menlo"/>
      <w:color w:val="FFFFFF"/>
      <w:sz w:val="21"/>
      <w:szCs w:val="21"/>
      <w:shd w:val="clear" w:color="auto" w:fill="333333"/>
    </w:rPr>
  </w:style>
  <w:style w:type="character" w:styleId="32">
    <w:name w:val="HTML Sample"/>
    <w:basedOn w:val="20"/>
    <w:unhideWhenUsed/>
    <w:qFormat/>
    <w:uiPriority w:val="99"/>
    <w:rPr>
      <w:rFonts w:hint="default" w:ascii="Menlo" w:hAnsi="Menlo" w:eastAsia="Menlo" w:cs="Menlo"/>
      <w:sz w:val="21"/>
      <w:szCs w:val="21"/>
    </w:rPr>
  </w:style>
  <w:style w:type="character" w:customStyle="1" w:styleId="33">
    <w:name w:val="页眉 Char"/>
    <w:basedOn w:val="20"/>
    <w:link w:val="12"/>
    <w:qFormat/>
    <w:uiPriority w:val="99"/>
    <w:rPr>
      <w:sz w:val="18"/>
      <w:szCs w:val="18"/>
    </w:rPr>
  </w:style>
  <w:style w:type="character" w:customStyle="1" w:styleId="34">
    <w:name w:val="页脚 Char"/>
    <w:basedOn w:val="20"/>
    <w:link w:val="11"/>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20"/>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20"/>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20"/>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20"/>
    <w:link w:val="10"/>
    <w:semiHidden/>
    <w:qFormat/>
    <w:uiPriority w:val="99"/>
    <w:rPr>
      <w:kern w:val="2"/>
      <w:sz w:val="18"/>
      <w:szCs w:val="18"/>
    </w:rPr>
  </w:style>
  <w:style w:type="character" w:customStyle="1" w:styleId="46">
    <w:name w:val="批注文字 Char"/>
    <w:basedOn w:val="20"/>
    <w:link w:val="7"/>
    <w:semiHidden/>
    <w:qFormat/>
    <w:uiPriority w:val="99"/>
    <w:rPr>
      <w:kern w:val="2"/>
      <w:sz w:val="24"/>
      <w:szCs w:val="22"/>
    </w:rPr>
  </w:style>
  <w:style w:type="character" w:customStyle="1" w:styleId="47">
    <w:name w:val="批注主题 Char"/>
    <w:basedOn w:val="46"/>
    <w:link w:val="1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20"/>
    <w:qFormat/>
    <w:uiPriority w:val="0"/>
    <w:rPr>
      <w:shd w:val="clear" w:color="auto" w:fill="F2F2F2"/>
    </w:rPr>
  </w:style>
  <w:style w:type="character" w:customStyle="1" w:styleId="51">
    <w:name w:val="dhtmlxcalendar_label_hours"/>
    <w:basedOn w:val="20"/>
    <w:qFormat/>
    <w:uiPriority w:val="0"/>
  </w:style>
  <w:style w:type="table" w:customStyle="1" w:styleId="52">
    <w:name w:val="网格型1"/>
    <w:basedOn w:val="1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20"/>
    <w:link w:val="8"/>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character" w:customStyle="1" w:styleId="63">
    <w:name w:val="font11"/>
    <w:basedOn w:val="20"/>
    <w:qFormat/>
    <w:uiPriority w:val="0"/>
    <w:rPr>
      <w:rFonts w:hint="eastAsia" w:ascii="微软雅黑" w:hAnsi="微软雅黑" w:eastAsia="微软雅黑" w:cs="微软雅黑"/>
      <w:color w:val="000000"/>
      <w:sz w:val="24"/>
      <w:szCs w:val="24"/>
      <w:u w:val="none"/>
    </w:rPr>
  </w:style>
  <w:style w:type="paragraph" w:customStyle="1" w:styleId="64">
    <w:name w:val="修订3"/>
    <w:hidden/>
    <w:unhideWhenUsed/>
    <w:qFormat/>
    <w:uiPriority w:val="99"/>
    <w:rPr>
      <w:rFonts w:ascii="宋体" w:hAnsi="宋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4D1DE-A012-4CC5-AFBE-D871F45F9AE6}">
  <ds:schemaRefs/>
</ds:datastoreItem>
</file>

<file path=docProps/app.xml><?xml version="1.0" encoding="utf-8"?>
<Properties xmlns="http://schemas.openxmlformats.org/officeDocument/2006/extended-properties" xmlns:vt="http://schemas.openxmlformats.org/officeDocument/2006/docPropsVTypes">
  <Template>Normal</Template>
  <Pages>22</Pages>
  <Words>966</Words>
  <Characters>5509</Characters>
  <Lines>45</Lines>
  <Paragraphs>12</Paragraphs>
  <TotalTime>2</TotalTime>
  <ScaleCrop>false</ScaleCrop>
  <LinksUpToDate>false</LinksUpToDate>
  <CharactersWithSpaces>6463</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2023-07-19T08:21:00Z</dcterms:created>
  <dc:creator>潘爽</dc:creator>
  <cp:lastModifiedBy>37156</cp:lastModifiedBy>
  <cp:lastPrinted>2023-07-19T08:20:00Z</cp:lastPrinted>
  <dcterms:modified xsi:type="dcterms:W3CDTF">2023-08-02T02:54:32Z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81D8BDB6F9DF4D83B43196F8DDD2A4CD</vt:lpwstr>
  </property>
</Properties>
</file>